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EB0E" w14:textId="77777777" w:rsidR="00AA08F4" w:rsidRPr="004B6118" w:rsidRDefault="00AA08F4" w:rsidP="00AA08F4">
      <w:pPr>
        <w:widowControl w:val="0"/>
        <w:spacing w:line="480" w:lineRule="exact"/>
        <w:jc w:val="center"/>
        <w:rPr>
          <w:rFonts w:ascii="標楷體" w:eastAsia="標楷體" w:hAnsi="標楷體" w:cs="Times New Roman"/>
          <w:kern w:val="2"/>
          <w:sz w:val="36"/>
          <w:szCs w:val="36"/>
        </w:rPr>
      </w:pPr>
      <w:r w:rsidRPr="004B6118">
        <w:rPr>
          <w:rFonts w:ascii="標楷體" w:eastAsia="標楷體" w:hAnsi="標楷體" w:cs="Times New Roman" w:hint="eastAsia"/>
          <w:kern w:val="2"/>
          <w:sz w:val="36"/>
          <w:szCs w:val="36"/>
        </w:rPr>
        <w:t xml:space="preserve">國立中興大學化學工程學系博士班獎勵辦法 </w:t>
      </w:r>
    </w:p>
    <w:p w14:paraId="5CC633F4" w14:textId="77777777" w:rsidR="00AA08F4" w:rsidRPr="00D64491" w:rsidRDefault="00AA08F4" w:rsidP="00AA08F4">
      <w:pPr>
        <w:widowControl w:val="0"/>
        <w:adjustRightInd w:val="0"/>
        <w:snapToGrid w:val="0"/>
        <w:spacing w:line="240" w:lineRule="atLeast"/>
        <w:jc w:val="right"/>
        <w:rPr>
          <w:rFonts w:ascii="Times New Roman" w:eastAsia="標楷體" w:hAnsi="Times New Roman" w:cs="Times New Roman"/>
          <w:kern w:val="2"/>
          <w:sz w:val="16"/>
          <w:szCs w:val="16"/>
        </w:rPr>
      </w:pPr>
      <w:r w:rsidRPr="00D64491">
        <w:rPr>
          <w:rFonts w:ascii="Times New Roman" w:eastAsia="標楷體" w:hAnsi="Times New Roman" w:cs="Times New Roman"/>
          <w:kern w:val="2"/>
          <w:sz w:val="16"/>
          <w:szCs w:val="16"/>
        </w:rPr>
        <w:t>103.6.4</w:t>
      </w:r>
      <w:r w:rsidRPr="00D64491">
        <w:rPr>
          <w:rFonts w:ascii="Times New Roman" w:eastAsia="標楷體" w:hAnsi="Times New Roman" w:cs="Times New Roman"/>
          <w:kern w:val="2"/>
          <w:sz w:val="16"/>
          <w:szCs w:val="16"/>
        </w:rPr>
        <w:t>研究所委員會草擬</w:t>
      </w:r>
    </w:p>
    <w:p w14:paraId="3AC3F680" w14:textId="77777777" w:rsidR="00AA08F4" w:rsidRPr="00D64491" w:rsidRDefault="00AA08F4" w:rsidP="00AA08F4">
      <w:pPr>
        <w:widowControl w:val="0"/>
        <w:adjustRightInd w:val="0"/>
        <w:snapToGrid w:val="0"/>
        <w:spacing w:line="240" w:lineRule="atLeast"/>
        <w:jc w:val="right"/>
        <w:rPr>
          <w:rFonts w:ascii="Times New Roman" w:eastAsia="標楷體" w:hAnsi="Times New Roman" w:cs="Times New Roman"/>
          <w:kern w:val="2"/>
          <w:sz w:val="16"/>
          <w:szCs w:val="16"/>
        </w:rPr>
      </w:pPr>
      <w:r w:rsidRPr="00D64491">
        <w:rPr>
          <w:rFonts w:ascii="Times New Roman" w:eastAsia="標楷體" w:hAnsi="Times New Roman" w:cs="Times New Roman"/>
          <w:kern w:val="2"/>
          <w:sz w:val="16"/>
          <w:szCs w:val="16"/>
        </w:rPr>
        <w:t>103.06.18</w:t>
      </w:r>
      <w:r w:rsidRPr="00D64491">
        <w:rPr>
          <w:rFonts w:ascii="Times New Roman" w:eastAsia="標楷體" w:hAnsi="Times New Roman" w:cs="Times New Roman"/>
          <w:kern w:val="2"/>
          <w:sz w:val="16"/>
          <w:szCs w:val="16"/>
        </w:rPr>
        <w:t>系</w:t>
      </w:r>
      <w:proofErr w:type="gramStart"/>
      <w:r w:rsidRPr="00D64491">
        <w:rPr>
          <w:rFonts w:ascii="Times New Roman" w:eastAsia="標楷體" w:hAnsi="Times New Roman" w:cs="Times New Roman"/>
          <w:kern w:val="2"/>
          <w:sz w:val="16"/>
          <w:szCs w:val="16"/>
        </w:rPr>
        <w:t>務</w:t>
      </w:r>
      <w:proofErr w:type="gramEnd"/>
      <w:r w:rsidRPr="00D64491">
        <w:rPr>
          <w:rFonts w:ascii="Times New Roman" w:eastAsia="標楷體" w:hAnsi="Times New Roman" w:cs="Times New Roman"/>
          <w:kern w:val="2"/>
          <w:sz w:val="16"/>
          <w:szCs w:val="16"/>
        </w:rPr>
        <w:t>會議通過</w:t>
      </w:r>
      <w:r w:rsidRPr="00D64491">
        <w:rPr>
          <w:rFonts w:ascii="Times New Roman" w:eastAsia="標楷體" w:hAnsi="Times New Roman" w:cs="Times New Roman"/>
          <w:kern w:val="2"/>
          <w:sz w:val="16"/>
          <w:szCs w:val="16"/>
        </w:rPr>
        <w:t xml:space="preserve">                  </w:t>
      </w:r>
    </w:p>
    <w:p w14:paraId="0AD464B2" w14:textId="77777777" w:rsidR="00AA08F4" w:rsidRPr="00D64491" w:rsidRDefault="00AA08F4" w:rsidP="00AA08F4">
      <w:pPr>
        <w:widowControl w:val="0"/>
        <w:adjustRightInd w:val="0"/>
        <w:snapToGrid w:val="0"/>
        <w:jc w:val="right"/>
        <w:rPr>
          <w:rFonts w:ascii="Times New Roman" w:eastAsia="標楷體" w:hAnsi="Times New Roman" w:cs="Times New Roman"/>
          <w:kern w:val="2"/>
          <w:sz w:val="16"/>
          <w:szCs w:val="16"/>
        </w:rPr>
      </w:pPr>
      <w:r w:rsidRPr="00D64491">
        <w:rPr>
          <w:rFonts w:ascii="Times New Roman" w:eastAsia="標楷體" w:hAnsi="Times New Roman" w:cs="Times New Roman"/>
          <w:kern w:val="2"/>
          <w:sz w:val="16"/>
          <w:szCs w:val="16"/>
        </w:rPr>
        <w:t>107.6.27</w:t>
      </w:r>
      <w:r w:rsidRPr="00D64491">
        <w:rPr>
          <w:rFonts w:ascii="Times New Roman" w:eastAsia="標楷體" w:hAnsi="Times New Roman" w:cs="Times New Roman"/>
          <w:kern w:val="2"/>
          <w:sz w:val="16"/>
          <w:szCs w:val="16"/>
        </w:rPr>
        <w:t>系</w:t>
      </w:r>
      <w:proofErr w:type="gramStart"/>
      <w:r w:rsidRPr="00D64491">
        <w:rPr>
          <w:rFonts w:ascii="Times New Roman" w:eastAsia="標楷體" w:hAnsi="Times New Roman" w:cs="Times New Roman"/>
          <w:kern w:val="2"/>
          <w:sz w:val="16"/>
          <w:szCs w:val="16"/>
        </w:rPr>
        <w:t>務</w:t>
      </w:r>
      <w:proofErr w:type="gramEnd"/>
      <w:r w:rsidRPr="00D64491">
        <w:rPr>
          <w:rFonts w:ascii="Times New Roman" w:eastAsia="標楷體" w:hAnsi="Times New Roman" w:cs="Times New Roman"/>
          <w:kern w:val="2"/>
          <w:sz w:val="16"/>
          <w:szCs w:val="16"/>
        </w:rPr>
        <w:t>會議通過</w:t>
      </w:r>
    </w:p>
    <w:p w14:paraId="1127AC20" w14:textId="77777777" w:rsidR="00AA08F4" w:rsidRPr="00D64491" w:rsidRDefault="00AA08F4" w:rsidP="00AA08F4">
      <w:pPr>
        <w:widowControl w:val="0"/>
        <w:adjustRightInd w:val="0"/>
        <w:snapToGrid w:val="0"/>
        <w:jc w:val="right"/>
        <w:rPr>
          <w:rFonts w:ascii="Times New Roman" w:eastAsia="標楷體" w:hAnsi="Times New Roman" w:cs="Times New Roman"/>
          <w:color w:val="000000" w:themeColor="text1"/>
          <w:kern w:val="2"/>
          <w:sz w:val="16"/>
          <w:szCs w:val="16"/>
        </w:rPr>
      </w:pPr>
      <w:r w:rsidRPr="00D64491">
        <w:rPr>
          <w:rFonts w:ascii="Times New Roman" w:eastAsia="標楷體" w:hAnsi="Times New Roman" w:cs="Times New Roman"/>
          <w:color w:val="000000" w:themeColor="text1"/>
          <w:kern w:val="2"/>
          <w:sz w:val="16"/>
          <w:szCs w:val="16"/>
        </w:rPr>
        <w:t>111.9.21</w:t>
      </w:r>
      <w:r w:rsidRPr="00D64491">
        <w:rPr>
          <w:rFonts w:ascii="Times New Roman" w:eastAsia="標楷體" w:hAnsi="Times New Roman" w:cs="Times New Roman"/>
          <w:color w:val="000000" w:themeColor="text1"/>
          <w:kern w:val="2"/>
          <w:sz w:val="16"/>
          <w:szCs w:val="16"/>
        </w:rPr>
        <w:t>系</w:t>
      </w:r>
      <w:proofErr w:type="gramStart"/>
      <w:r w:rsidRPr="00D64491">
        <w:rPr>
          <w:rFonts w:ascii="Times New Roman" w:eastAsia="標楷體" w:hAnsi="Times New Roman" w:cs="Times New Roman"/>
          <w:color w:val="000000" w:themeColor="text1"/>
          <w:kern w:val="2"/>
          <w:sz w:val="16"/>
          <w:szCs w:val="16"/>
        </w:rPr>
        <w:t>務</w:t>
      </w:r>
      <w:proofErr w:type="gramEnd"/>
      <w:r w:rsidRPr="00D64491">
        <w:rPr>
          <w:rFonts w:ascii="Times New Roman" w:eastAsia="標楷體" w:hAnsi="Times New Roman" w:cs="Times New Roman"/>
          <w:color w:val="000000" w:themeColor="text1"/>
          <w:kern w:val="2"/>
          <w:sz w:val="16"/>
          <w:szCs w:val="16"/>
        </w:rPr>
        <w:t>會議修訂通過</w:t>
      </w:r>
      <w:r w:rsidRPr="00D64491">
        <w:rPr>
          <w:rFonts w:ascii="Times New Roman" w:eastAsia="標楷體" w:hAnsi="Times New Roman" w:cs="Times New Roman"/>
          <w:color w:val="000000" w:themeColor="text1"/>
          <w:kern w:val="2"/>
          <w:sz w:val="16"/>
          <w:szCs w:val="16"/>
        </w:rPr>
        <w:t>(</w:t>
      </w:r>
      <w:r w:rsidRPr="00D64491">
        <w:rPr>
          <w:rFonts w:ascii="Times New Roman" w:eastAsia="標楷體" w:hAnsi="Times New Roman" w:cs="Times New Roman"/>
          <w:color w:val="000000" w:themeColor="text1"/>
          <w:kern w:val="2"/>
          <w:sz w:val="16"/>
          <w:szCs w:val="16"/>
        </w:rPr>
        <w:t>修訂第</w:t>
      </w:r>
      <w:r>
        <w:rPr>
          <w:rFonts w:ascii="Times New Roman" w:eastAsia="標楷體" w:hAnsi="Times New Roman" w:cs="Times New Roman" w:hint="eastAsia"/>
          <w:color w:val="000000" w:themeColor="text1"/>
          <w:kern w:val="2"/>
          <w:sz w:val="16"/>
          <w:szCs w:val="16"/>
        </w:rPr>
        <w:t>二</w:t>
      </w:r>
      <w:r w:rsidRPr="00D64491">
        <w:rPr>
          <w:rFonts w:ascii="Times New Roman" w:eastAsia="標楷體" w:hAnsi="Times New Roman" w:cs="Times New Roman"/>
          <w:color w:val="000000" w:themeColor="text1"/>
          <w:kern w:val="2"/>
          <w:sz w:val="16"/>
          <w:szCs w:val="16"/>
        </w:rPr>
        <w:t>、</w:t>
      </w:r>
      <w:r>
        <w:rPr>
          <w:rFonts w:ascii="Times New Roman" w:eastAsia="標楷體" w:hAnsi="Times New Roman" w:cs="Times New Roman" w:hint="eastAsia"/>
          <w:color w:val="000000" w:themeColor="text1"/>
          <w:kern w:val="2"/>
          <w:sz w:val="16"/>
          <w:szCs w:val="16"/>
        </w:rPr>
        <w:t>三</w:t>
      </w:r>
      <w:r w:rsidRPr="00D64491">
        <w:rPr>
          <w:rFonts w:ascii="Times New Roman" w:eastAsia="標楷體" w:hAnsi="Times New Roman" w:cs="Times New Roman"/>
          <w:color w:val="000000" w:themeColor="text1"/>
          <w:kern w:val="2"/>
          <w:sz w:val="16"/>
          <w:szCs w:val="16"/>
        </w:rPr>
        <w:t>條</w:t>
      </w:r>
      <w:r w:rsidRPr="00D64491">
        <w:rPr>
          <w:rFonts w:ascii="Times New Roman" w:eastAsia="標楷體" w:hAnsi="Times New Roman" w:cs="Times New Roman"/>
          <w:color w:val="000000" w:themeColor="text1"/>
          <w:kern w:val="2"/>
          <w:sz w:val="16"/>
          <w:szCs w:val="16"/>
        </w:rPr>
        <w:t>)</w:t>
      </w:r>
    </w:p>
    <w:p w14:paraId="0DE1EADD" w14:textId="3B7D77BA" w:rsidR="007642AD" w:rsidRPr="007642AD" w:rsidRDefault="007642AD" w:rsidP="007642AD">
      <w:pPr>
        <w:widowControl w:val="0"/>
        <w:adjustRightInd w:val="0"/>
        <w:snapToGrid w:val="0"/>
        <w:jc w:val="right"/>
        <w:rPr>
          <w:rFonts w:ascii="Times New Roman" w:eastAsia="標楷體" w:hAnsi="Times New Roman" w:cs="Times New Roman"/>
          <w:color w:val="FF0000"/>
          <w:kern w:val="2"/>
          <w:sz w:val="16"/>
          <w:szCs w:val="16"/>
        </w:rPr>
      </w:pPr>
      <w:r w:rsidRPr="007642AD">
        <w:rPr>
          <w:rFonts w:ascii="Times New Roman" w:eastAsia="標楷體" w:hAnsi="Times New Roman" w:cs="Times New Roman" w:hint="eastAsia"/>
          <w:color w:val="FF0000"/>
          <w:kern w:val="2"/>
          <w:sz w:val="16"/>
          <w:szCs w:val="16"/>
        </w:rPr>
        <w:t>113</w:t>
      </w:r>
      <w:r w:rsidR="007B200B">
        <w:rPr>
          <w:rFonts w:ascii="Times New Roman" w:eastAsia="標楷體" w:hAnsi="Times New Roman" w:cs="Times New Roman" w:hint="eastAsia"/>
          <w:color w:val="FF0000"/>
          <w:kern w:val="2"/>
          <w:sz w:val="16"/>
          <w:szCs w:val="16"/>
        </w:rPr>
        <w:t>1106</w:t>
      </w:r>
      <w:r w:rsidR="007B200B">
        <w:rPr>
          <w:rFonts w:ascii="Times New Roman" w:eastAsia="標楷體" w:hAnsi="Times New Roman" w:cs="Times New Roman" w:hint="eastAsia"/>
          <w:color w:val="FF0000"/>
          <w:kern w:val="2"/>
          <w:sz w:val="16"/>
          <w:szCs w:val="16"/>
        </w:rPr>
        <w:t>系</w:t>
      </w:r>
      <w:proofErr w:type="gramStart"/>
      <w:r w:rsidR="007B200B">
        <w:rPr>
          <w:rFonts w:ascii="Times New Roman" w:eastAsia="標楷體" w:hAnsi="Times New Roman" w:cs="Times New Roman" w:hint="eastAsia"/>
          <w:color w:val="FF0000"/>
          <w:kern w:val="2"/>
          <w:sz w:val="16"/>
          <w:szCs w:val="16"/>
        </w:rPr>
        <w:t>務</w:t>
      </w:r>
      <w:proofErr w:type="gramEnd"/>
      <w:r w:rsidRPr="007642AD">
        <w:rPr>
          <w:rFonts w:ascii="Times New Roman" w:eastAsia="標楷體" w:hAnsi="Times New Roman" w:cs="Times New Roman"/>
          <w:color w:val="FF0000"/>
          <w:kern w:val="2"/>
          <w:sz w:val="16"/>
          <w:szCs w:val="16"/>
        </w:rPr>
        <w:t>會議修訂通過</w:t>
      </w:r>
      <w:r w:rsidRPr="007642AD">
        <w:rPr>
          <w:rFonts w:ascii="Times New Roman" w:eastAsia="標楷體" w:hAnsi="Times New Roman" w:cs="Times New Roman"/>
          <w:color w:val="FF0000"/>
          <w:kern w:val="2"/>
          <w:sz w:val="16"/>
          <w:szCs w:val="16"/>
        </w:rPr>
        <w:t>(</w:t>
      </w:r>
      <w:r w:rsidRPr="007642AD">
        <w:rPr>
          <w:rFonts w:ascii="Times New Roman" w:eastAsia="標楷體" w:hAnsi="Times New Roman" w:cs="Times New Roman"/>
          <w:color w:val="FF0000"/>
          <w:kern w:val="2"/>
          <w:sz w:val="16"/>
          <w:szCs w:val="16"/>
        </w:rPr>
        <w:t>修訂第</w:t>
      </w:r>
      <w:r w:rsidRPr="007642AD">
        <w:rPr>
          <w:rFonts w:ascii="Times New Roman" w:eastAsia="標楷體" w:hAnsi="Times New Roman" w:cs="Times New Roman" w:hint="eastAsia"/>
          <w:color w:val="FF0000"/>
          <w:kern w:val="2"/>
          <w:sz w:val="16"/>
          <w:szCs w:val="16"/>
        </w:rPr>
        <w:t>二</w:t>
      </w:r>
      <w:r w:rsidRPr="007642AD">
        <w:rPr>
          <w:rFonts w:ascii="Times New Roman" w:eastAsia="標楷體" w:hAnsi="Times New Roman" w:cs="Times New Roman"/>
          <w:color w:val="FF0000"/>
          <w:kern w:val="2"/>
          <w:sz w:val="16"/>
          <w:szCs w:val="16"/>
        </w:rPr>
        <w:t>條</w:t>
      </w:r>
      <w:r w:rsidRPr="007642AD">
        <w:rPr>
          <w:rFonts w:ascii="Times New Roman" w:eastAsia="標楷體" w:hAnsi="Times New Roman" w:cs="Times New Roman"/>
          <w:color w:val="FF0000"/>
          <w:kern w:val="2"/>
          <w:sz w:val="16"/>
          <w:szCs w:val="16"/>
        </w:rPr>
        <w:t>)</w:t>
      </w:r>
    </w:p>
    <w:p w14:paraId="3A030897" w14:textId="77777777" w:rsidR="00AA08F4" w:rsidRPr="007642AD" w:rsidRDefault="00AA08F4" w:rsidP="00AA08F4">
      <w:pPr>
        <w:widowControl w:val="0"/>
        <w:adjustRightInd w:val="0"/>
        <w:spacing w:line="240" w:lineRule="atLeast"/>
        <w:ind w:right="-1"/>
        <w:jc w:val="right"/>
        <w:rPr>
          <w:rFonts w:ascii="標楷體" w:eastAsia="標楷體" w:hAnsi="標楷體" w:cs="Times New Roman"/>
          <w:kern w:val="2"/>
          <w:sz w:val="16"/>
          <w:szCs w:val="16"/>
        </w:rPr>
      </w:pPr>
    </w:p>
    <w:p w14:paraId="216D4ED7" w14:textId="77777777" w:rsidR="00AA08F4" w:rsidRPr="00D31AC6" w:rsidRDefault="00AA08F4" w:rsidP="00AA08F4">
      <w:pPr>
        <w:widowControl w:val="0"/>
        <w:numPr>
          <w:ilvl w:val="0"/>
          <w:numId w:val="2"/>
        </w:numPr>
        <w:jc w:val="both"/>
        <w:rPr>
          <w:rFonts w:ascii="Times New Roman" w:eastAsia="標楷體" w:hAnsi="Times New Roman" w:cs="Times New Roman"/>
          <w:kern w:val="2"/>
          <w:szCs w:val="20"/>
        </w:rPr>
      </w:pPr>
      <w:r w:rsidRPr="00D31AC6">
        <w:rPr>
          <w:rFonts w:ascii="Times New Roman" w:eastAsia="標楷體" w:hAnsi="Times New Roman" w:cs="Times New Roman"/>
          <w:kern w:val="2"/>
          <w:szCs w:val="20"/>
        </w:rPr>
        <w:t>為鼓勵優秀學生攻讀本系博士學位，特訂定『國立中興大學化學工程學系博士班獎勵辦法』</w:t>
      </w:r>
      <w:r w:rsidRPr="00D31AC6">
        <w:rPr>
          <w:rFonts w:ascii="Times New Roman" w:eastAsia="標楷體" w:hAnsi="Times New Roman" w:cs="Times New Roman"/>
          <w:kern w:val="2"/>
          <w:szCs w:val="20"/>
        </w:rPr>
        <w:t>(</w:t>
      </w:r>
      <w:r w:rsidRPr="00D31AC6">
        <w:rPr>
          <w:rFonts w:ascii="Times New Roman" w:eastAsia="標楷體" w:hAnsi="Times New Roman" w:cs="Times New Roman"/>
          <w:kern w:val="2"/>
          <w:szCs w:val="20"/>
        </w:rPr>
        <w:t>以下簡稱本辦法</w:t>
      </w:r>
      <w:r w:rsidRPr="00D31AC6">
        <w:rPr>
          <w:rFonts w:ascii="Times New Roman" w:eastAsia="標楷體" w:hAnsi="Times New Roman" w:cs="Times New Roman"/>
          <w:kern w:val="2"/>
          <w:szCs w:val="20"/>
        </w:rPr>
        <w:t>)</w:t>
      </w:r>
      <w:r w:rsidRPr="00D31AC6">
        <w:rPr>
          <w:rFonts w:ascii="Times New Roman" w:eastAsia="標楷體" w:hAnsi="Times New Roman" w:cs="Times New Roman"/>
          <w:kern w:val="2"/>
          <w:szCs w:val="20"/>
        </w:rPr>
        <w:t>。</w:t>
      </w:r>
    </w:p>
    <w:p w14:paraId="79765A9B" w14:textId="6BB00F0D" w:rsidR="00AA08F4" w:rsidRPr="00D31AC6" w:rsidRDefault="00AA08F4" w:rsidP="00AA08F4">
      <w:pPr>
        <w:widowControl w:val="0"/>
        <w:numPr>
          <w:ilvl w:val="0"/>
          <w:numId w:val="2"/>
        </w:numPr>
        <w:jc w:val="both"/>
        <w:rPr>
          <w:rFonts w:ascii="Times New Roman" w:eastAsia="標楷體" w:hAnsi="Times New Roman" w:cs="Times New Roman"/>
          <w:color w:val="000000" w:themeColor="text1"/>
          <w:kern w:val="2"/>
          <w:szCs w:val="20"/>
        </w:rPr>
      </w:pPr>
      <w:proofErr w:type="gramStart"/>
      <w:r w:rsidRPr="00D31AC6">
        <w:rPr>
          <w:rFonts w:ascii="Times New Roman" w:eastAsia="標楷體" w:hAnsi="Times New Roman" w:cs="Times New Roman"/>
          <w:kern w:val="2"/>
          <w:szCs w:val="20"/>
        </w:rPr>
        <w:t>逕</w:t>
      </w:r>
      <w:proofErr w:type="gramEnd"/>
      <w:r w:rsidRPr="00D31AC6">
        <w:rPr>
          <w:rFonts w:ascii="Times New Roman" w:eastAsia="標楷體" w:hAnsi="Times New Roman" w:cs="Times New Roman"/>
          <w:kern w:val="2"/>
          <w:szCs w:val="20"/>
        </w:rPr>
        <w:t>修讀博士學位學生及經由甄試</w:t>
      </w:r>
      <w:r w:rsidR="00BA5D84" w:rsidRPr="0080455C">
        <w:rPr>
          <w:rFonts w:ascii="Times New Roman" w:eastAsia="標楷體" w:hAnsi="Times New Roman" w:cs="Times New Roman" w:hint="eastAsia"/>
          <w:color w:val="FF0000"/>
          <w:kern w:val="2"/>
          <w:szCs w:val="20"/>
        </w:rPr>
        <w:t>、申請</w:t>
      </w:r>
      <w:r w:rsidRPr="00D31AC6">
        <w:rPr>
          <w:rFonts w:ascii="Times New Roman" w:eastAsia="標楷體" w:hAnsi="Times New Roman" w:cs="Times New Roman"/>
          <w:kern w:val="2"/>
          <w:szCs w:val="20"/>
        </w:rPr>
        <w:t>或一般入學考進入本系研究所就讀之博士班研究生，於通過資格</w:t>
      </w:r>
      <w:proofErr w:type="gramStart"/>
      <w:r w:rsidRPr="00D31AC6">
        <w:rPr>
          <w:rFonts w:ascii="Times New Roman" w:eastAsia="標楷體" w:hAnsi="Times New Roman" w:cs="Times New Roman"/>
          <w:kern w:val="2"/>
          <w:szCs w:val="20"/>
        </w:rPr>
        <w:t>考後</w:t>
      </w:r>
      <w:r w:rsidR="00D57EF1" w:rsidRPr="00D57EF1">
        <w:rPr>
          <w:rFonts w:ascii="Times New Roman" w:eastAsia="標楷體" w:hAnsi="Times New Roman" w:cs="Times New Roman" w:hint="eastAsia"/>
          <w:color w:val="FF0000"/>
          <w:kern w:val="2"/>
          <w:szCs w:val="20"/>
        </w:rPr>
        <w:t>且就讀</w:t>
      </w:r>
      <w:proofErr w:type="gramEnd"/>
      <w:r w:rsidR="00D57EF1" w:rsidRPr="00D57EF1">
        <w:rPr>
          <w:rFonts w:ascii="Times New Roman" w:eastAsia="標楷體" w:hAnsi="Times New Roman" w:cs="Times New Roman" w:hint="eastAsia"/>
          <w:color w:val="FF0000"/>
          <w:kern w:val="2"/>
          <w:szCs w:val="20"/>
        </w:rPr>
        <w:t>之前</w:t>
      </w:r>
      <w:proofErr w:type="gramStart"/>
      <w:r w:rsidR="00D57EF1" w:rsidRPr="00D57EF1">
        <w:rPr>
          <w:rFonts w:ascii="Times New Roman" w:eastAsia="標楷體" w:hAnsi="Times New Roman" w:cs="Times New Roman" w:hint="eastAsia"/>
          <w:color w:val="FF0000"/>
          <w:kern w:val="2"/>
          <w:szCs w:val="20"/>
        </w:rPr>
        <w:t>三</w:t>
      </w:r>
      <w:proofErr w:type="gramEnd"/>
      <w:r w:rsidR="00D57EF1" w:rsidRPr="00D57EF1">
        <w:rPr>
          <w:rFonts w:ascii="Times New Roman" w:eastAsia="標楷體" w:hAnsi="Times New Roman" w:cs="Times New Roman" w:hint="eastAsia"/>
          <w:color w:val="FF0000"/>
          <w:kern w:val="2"/>
          <w:szCs w:val="20"/>
        </w:rPr>
        <w:t>學年</w:t>
      </w:r>
      <w:r w:rsidRPr="00524705">
        <w:rPr>
          <w:rFonts w:ascii="Times New Roman" w:eastAsia="標楷體" w:hAnsi="Times New Roman" w:cs="Times New Roman"/>
          <w:color w:val="FF0000"/>
          <w:kern w:val="2"/>
          <w:szCs w:val="20"/>
        </w:rPr>
        <w:t>得</w:t>
      </w:r>
      <w:r w:rsidR="00524705" w:rsidRPr="00524705">
        <w:rPr>
          <w:rFonts w:ascii="Times New Roman" w:eastAsia="標楷體" w:hAnsi="Times New Roman" w:cs="Times New Roman"/>
          <w:color w:val="FF0000"/>
          <w:kern w:val="2"/>
          <w:szCs w:val="20"/>
        </w:rPr>
        <w:t>逐年</w:t>
      </w:r>
      <w:r w:rsidRPr="00524705">
        <w:rPr>
          <w:rFonts w:ascii="Times New Roman" w:eastAsia="標楷體" w:hAnsi="Times New Roman" w:cs="Times New Roman"/>
          <w:color w:val="FF0000"/>
          <w:kern w:val="2"/>
          <w:szCs w:val="20"/>
        </w:rPr>
        <w:t>申請獎勵。</w:t>
      </w:r>
      <w:r w:rsidR="00D57EF1" w:rsidRPr="00524705">
        <w:rPr>
          <w:rFonts w:ascii="Times New Roman" w:eastAsia="標楷體" w:hAnsi="Times New Roman" w:cs="Times New Roman" w:hint="eastAsia"/>
          <w:color w:val="FF0000"/>
          <w:kern w:val="2"/>
          <w:szCs w:val="20"/>
        </w:rPr>
        <w:t>每</w:t>
      </w:r>
      <w:r w:rsidR="0080455C" w:rsidRPr="00524705">
        <w:rPr>
          <w:rFonts w:ascii="Times New Roman" w:eastAsia="標楷體" w:hAnsi="Times New Roman" w:cs="Times New Roman" w:hint="eastAsia"/>
          <w:color w:val="FF0000"/>
          <w:kern w:val="2"/>
          <w:szCs w:val="20"/>
        </w:rPr>
        <w:t>學年度</w:t>
      </w:r>
      <w:r w:rsidRPr="00524705">
        <w:rPr>
          <w:rFonts w:ascii="Times New Roman" w:eastAsia="標楷體" w:hAnsi="Times New Roman" w:cs="Times New Roman"/>
          <w:color w:val="FF0000"/>
          <w:kern w:val="2"/>
          <w:szCs w:val="20"/>
        </w:rPr>
        <w:t>獎勵名額至多</w:t>
      </w:r>
      <w:r w:rsidRPr="00524705">
        <w:rPr>
          <w:rFonts w:ascii="Times New Roman" w:eastAsia="標楷體" w:hAnsi="Times New Roman" w:cs="Times New Roman"/>
          <w:color w:val="FF0000"/>
          <w:kern w:val="2"/>
          <w:szCs w:val="20"/>
        </w:rPr>
        <w:t>3</w:t>
      </w:r>
      <w:r w:rsidRPr="00524705">
        <w:rPr>
          <w:rFonts w:ascii="Times New Roman" w:eastAsia="標楷體" w:hAnsi="Times New Roman" w:cs="Times New Roman"/>
          <w:color w:val="FF0000"/>
          <w:kern w:val="2"/>
          <w:szCs w:val="20"/>
        </w:rPr>
        <w:t>名，每人每</w:t>
      </w:r>
      <w:r w:rsidR="00524705">
        <w:rPr>
          <w:rFonts w:ascii="Times New Roman" w:eastAsia="標楷體" w:hAnsi="Times New Roman" w:cs="Times New Roman" w:hint="eastAsia"/>
          <w:color w:val="FF0000"/>
          <w:kern w:val="2"/>
          <w:szCs w:val="20"/>
        </w:rPr>
        <w:t>學</w:t>
      </w:r>
      <w:r w:rsidRPr="00524705">
        <w:rPr>
          <w:rFonts w:ascii="Times New Roman" w:eastAsia="標楷體" w:hAnsi="Times New Roman" w:cs="Times New Roman"/>
          <w:color w:val="FF0000"/>
          <w:kern w:val="2"/>
          <w:szCs w:val="20"/>
        </w:rPr>
        <w:t>年可獲得獎學金新台幣四萬元。</w:t>
      </w:r>
      <w:r w:rsidR="00896337" w:rsidRPr="00896337">
        <w:rPr>
          <w:rFonts w:ascii="Times New Roman" w:eastAsia="標楷體" w:hAnsi="Times New Roman" w:cs="Times New Roman" w:hint="eastAsia"/>
          <w:color w:val="FF0000"/>
          <w:kern w:val="2"/>
          <w:szCs w:val="20"/>
        </w:rPr>
        <w:t>在職就讀及領取國科會博士班研究獎勵之博士班研究生不得申請</w:t>
      </w:r>
      <w:r w:rsidR="00896337">
        <w:rPr>
          <w:rFonts w:ascii="Times New Roman" w:eastAsia="標楷體" w:hAnsi="Times New Roman" w:cs="Times New Roman" w:hint="eastAsia"/>
          <w:color w:val="000000" w:themeColor="text1"/>
          <w:kern w:val="2"/>
          <w:szCs w:val="20"/>
        </w:rPr>
        <w:t>。</w:t>
      </w:r>
    </w:p>
    <w:p w14:paraId="4C7ED79B" w14:textId="77777777" w:rsidR="00AA08F4" w:rsidRPr="00D31AC6" w:rsidRDefault="00AA08F4" w:rsidP="00AA08F4">
      <w:pPr>
        <w:widowControl w:val="0"/>
        <w:spacing w:beforeLines="50" w:before="180"/>
        <w:jc w:val="both"/>
        <w:rPr>
          <w:rFonts w:ascii="Times New Roman" w:eastAsia="標楷體" w:hAnsi="Times New Roman" w:cs="Times New Roman"/>
          <w:color w:val="000000" w:themeColor="text1"/>
          <w:kern w:val="2"/>
          <w:szCs w:val="20"/>
        </w:rPr>
      </w:pPr>
      <w:r w:rsidRPr="00D31AC6">
        <w:rPr>
          <w:rFonts w:ascii="Times New Roman" w:eastAsia="標楷體" w:hAnsi="Times New Roman" w:cs="Times New Roman"/>
          <w:color w:val="000000" w:themeColor="text1"/>
          <w:kern w:val="2"/>
          <w:szCs w:val="20"/>
        </w:rPr>
        <w:t>第三條、</w:t>
      </w:r>
      <w:r w:rsidRPr="00D31AC6">
        <w:rPr>
          <w:rFonts w:ascii="Times New Roman" w:eastAsia="標楷體" w:hAnsi="Times New Roman" w:cs="Times New Roman"/>
          <w:color w:val="000000" w:themeColor="text1"/>
          <w:kern w:val="2"/>
          <w:szCs w:val="20"/>
        </w:rPr>
        <w:t xml:space="preserve"> </w:t>
      </w:r>
      <w:r w:rsidRPr="00D31AC6">
        <w:rPr>
          <w:rFonts w:ascii="Times New Roman" w:eastAsia="標楷體" w:hAnsi="Times New Roman" w:cs="Times New Roman"/>
          <w:color w:val="000000" w:themeColor="text1"/>
          <w:kern w:val="2"/>
          <w:szCs w:val="20"/>
        </w:rPr>
        <w:t>每年第一學期開學前由研究所委員會依據下列原則審查</w:t>
      </w:r>
      <w:r w:rsidRPr="00D31AC6">
        <w:rPr>
          <w:rFonts w:ascii="Times New Roman" w:eastAsia="標楷體" w:hAnsi="Times New Roman" w:cs="Times New Roman"/>
          <w:color w:val="000000" w:themeColor="text1"/>
          <w:kern w:val="2"/>
          <w:szCs w:val="20"/>
        </w:rPr>
        <w:t>:</w:t>
      </w:r>
    </w:p>
    <w:p w14:paraId="39223358" w14:textId="77777777" w:rsidR="00AA08F4" w:rsidRPr="00D31AC6" w:rsidRDefault="00AA08F4" w:rsidP="00AA08F4">
      <w:pPr>
        <w:widowControl w:val="0"/>
        <w:numPr>
          <w:ilvl w:val="0"/>
          <w:numId w:val="1"/>
        </w:numPr>
        <w:tabs>
          <w:tab w:val="left" w:pos="1620"/>
        </w:tabs>
        <w:ind w:left="3420" w:hanging="2460"/>
        <w:jc w:val="both"/>
        <w:rPr>
          <w:rFonts w:ascii="Times New Roman" w:eastAsia="標楷體" w:hAnsi="Times New Roman" w:cs="Times New Roman"/>
          <w:color w:val="000000" w:themeColor="text1"/>
          <w:kern w:val="2"/>
          <w:szCs w:val="20"/>
        </w:rPr>
      </w:pPr>
      <w:r w:rsidRPr="00D31AC6">
        <w:rPr>
          <w:rFonts w:ascii="Times New Roman" w:eastAsia="標楷體" w:hAnsi="Times New Roman" w:cs="Times New Roman"/>
          <w:color w:val="000000" w:themeColor="text1"/>
          <w:kern w:val="2"/>
          <w:szCs w:val="20"/>
        </w:rPr>
        <w:t>第一年須通過博士班</w:t>
      </w:r>
      <w:proofErr w:type="gramStart"/>
      <w:r w:rsidRPr="00D31AC6">
        <w:rPr>
          <w:rFonts w:ascii="Times New Roman" w:eastAsia="標楷體" w:hAnsi="Times New Roman" w:cs="Times New Roman"/>
          <w:color w:val="000000" w:themeColor="text1"/>
          <w:kern w:val="2"/>
          <w:szCs w:val="20"/>
        </w:rPr>
        <w:t>資格考且學業</w:t>
      </w:r>
      <w:proofErr w:type="gramEnd"/>
      <w:r w:rsidRPr="00D31AC6">
        <w:rPr>
          <w:rFonts w:ascii="Times New Roman" w:eastAsia="標楷體" w:hAnsi="Times New Roman" w:cs="Times New Roman"/>
          <w:color w:val="000000" w:themeColor="text1"/>
          <w:kern w:val="2"/>
          <w:szCs w:val="20"/>
        </w:rPr>
        <w:t>成績優良。</w:t>
      </w:r>
    </w:p>
    <w:p w14:paraId="70188F3B" w14:textId="77777777" w:rsidR="00AA08F4" w:rsidRPr="00D31AC6" w:rsidRDefault="00AA08F4" w:rsidP="00AA08F4">
      <w:pPr>
        <w:widowControl w:val="0"/>
        <w:numPr>
          <w:ilvl w:val="0"/>
          <w:numId w:val="1"/>
        </w:numPr>
        <w:tabs>
          <w:tab w:val="num" w:pos="1620"/>
        </w:tabs>
        <w:jc w:val="both"/>
        <w:rPr>
          <w:rFonts w:ascii="Times New Roman" w:eastAsia="標楷體" w:hAnsi="Times New Roman" w:cs="Times New Roman"/>
          <w:color w:val="000000" w:themeColor="text1"/>
          <w:kern w:val="2"/>
          <w:szCs w:val="20"/>
        </w:rPr>
      </w:pPr>
      <w:r w:rsidRPr="00D31AC6">
        <w:rPr>
          <w:rFonts w:ascii="Times New Roman" w:eastAsia="標楷體" w:hAnsi="Times New Roman" w:cs="Times New Roman"/>
          <w:color w:val="000000" w:themeColor="text1"/>
          <w:kern w:val="2"/>
          <w:szCs w:val="20"/>
        </w:rPr>
        <w:t>第二年須提出博士班期間研究成果之具體佐證。</w:t>
      </w:r>
    </w:p>
    <w:p w14:paraId="05B162C7" w14:textId="7252BDBE" w:rsidR="00AA08F4" w:rsidRPr="00D31AC6" w:rsidRDefault="00AA08F4" w:rsidP="00D57EF1">
      <w:pPr>
        <w:widowControl w:val="0"/>
        <w:ind w:firstLineChars="402" w:firstLine="965"/>
        <w:jc w:val="both"/>
        <w:rPr>
          <w:rFonts w:ascii="Times New Roman" w:eastAsia="標楷體" w:hAnsi="Times New Roman" w:cs="Times New Roman"/>
          <w:color w:val="000000" w:themeColor="text1"/>
          <w:kern w:val="2"/>
          <w:szCs w:val="20"/>
        </w:rPr>
      </w:pPr>
      <w:r w:rsidRPr="00D31AC6">
        <w:rPr>
          <w:rFonts w:ascii="Times New Roman" w:eastAsia="標楷體" w:hAnsi="Times New Roman" w:cs="Times New Roman"/>
          <w:color w:val="000000" w:themeColor="text1"/>
          <w:kern w:val="2"/>
          <w:szCs w:val="20"/>
        </w:rPr>
        <w:t>（</w:t>
      </w:r>
      <w:r w:rsidRPr="00D31AC6">
        <w:rPr>
          <w:rFonts w:ascii="Times New Roman" w:eastAsia="標楷體" w:hAnsi="Times New Roman" w:cs="Times New Roman"/>
          <w:color w:val="000000" w:themeColor="text1"/>
          <w:kern w:val="2"/>
          <w:szCs w:val="20"/>
        </w:rPr>
        <w:t>3</w:t>
      </w:r>
      <w:r w:rsidRPr="00D31AC6">
        <w:rPr>
          <w:rFonts w:ascii="Times New Roman" w:eastAsia="標楷體" w:hAnsi="Times New Roman" w:cs="Times New Roman"/>
          <w:color w:val="000000" w:themeColor="text1"/>
          <w:kern w:val="2"/>
          <w:szCs w:val="20"/>
        </w:rPr>
        <w:t>）</w:t>
      </w:r>
      <w:r w:rsidRPr="00D31AC6">
        <w:rPr>
          <w:rFonts w:ascii="Times New Roman" w:eastAsia="標楷體" w:hAnsi="Times New Roman" w:cs="Times New Roman"/>
          <w:color w:val="000000" w:themeColor="text1"/>
          <w:kern w:val="2"/>
          <w:sz w:val="10"/>
          <w:szCs w:val="10"/>
        </w:rPr>
        <w:t xml:space="preserve"> </w:t>
      </w:r>
      <w:r w:rsidRPr="00D31AC6">
        <w:rPr>
          <w:rFonts w:ascii="Times New Roman" w:eastAsia="標楷體" w:hAnsi="Times New Roman" w:cs="Times New Roman"/>
          <w:color w:val="000000" w:themeColor="text1"/>
          <w:kern w:val="2"/>
          <w:szCs w:val="20"/>
        </w:rPr>
        <w:t>第三年須提出博士班期間研究成果，且通過本系標準之英語測驗成績證明。</w:t>
      </w:r>
    </w:p>
    <w:p w14:paraId="01271356" w14:textId="77777777" w:rsidR="00AA08F4" w:rsidRPr="00D31AC6" w:rsidRDefault="00AA08F4" w:rsidP="00AA08F4">
      <w:pPr>
        <w:widowControl w:val="0"/>
        <w:numPr>
          <w:ilvl w:val="0"/>
          <w:numId w:val="3"/>
        </w:numPr>
        <w:spacing w:beforeLines="50" w:before="180"/>
        <w:jc w:val="both"/>
        <w:rPr>
          <w:rFonts w:ascii="Times New Roman" w:eastAsia="標楷體" w:hAnsi="Times New Roman" w:cs="Times New Roman"/>
          <w:kern w:val="2"/>
          <w:szCs w:val="20"/>
        </w:rPr>
      </w:pPr>
      <w:r w:rsidRPr="00D31AC6">
        <w:rPr>
          <w:rFonts w:ascii="Times New Roman" w:eastAsia="標楷體" w:hAnsi="Times New Roman" w:cs="Times New Roman"/>
          <w:color w:val="000000" w:themeColor="text1"/>
          <w:kern w:val="2"/>
          <w:szCs w:val="20"/>
        </w:rPr>
        <w:t>每年七月底前依第三條各年審查要點備妥相關資料提出申請，應備資料包括博士班</w:t>
      </w:r>
      <w:r w:rsidRPr="00D31AC6">
        <w:rPr>
          <w:rFonts w:ascii="Times New Roman" w:eastAsia="標楷體" w:hAnsi="Times New Roman" w:cs="Times New Roman"/>
          <w:kern w:val="2"/>
          <w:szCs w:val="20"/>
        </w:rPr>
        <w:t>資格考通過證明、學業成績單、研究成果文件</w:t>
      </w:r>
      <w:r w:rsidRPr="00D31AC6">
        <w:rPr>
          <w:rFonts w:ascii="Times New Roman" w:eastAsia="標楷體" w:hAnsi="Times New Roman" w:cs="Times New Roman"/>
          <w:kern w:val="2"/>
          <w:szCs w:val="20"/>
        </w:rPr>
        <w:t>(</w:t>
      </w:r>
      <w:r w:rsidRPr="00D31AC6">
        <w:rPr>
          <w:rFonts w:ascii="Times New Roman" w:eastAsia="標楷體" w:hAnsi="Times New Roman" w:cs="Times New Roman"/>
          <w:kern w:val="2"/>
          <w:szCs w:val="20"/>
        </w:rPr>
        <w:t>如：期刊論文、研討會論文、專利、技術報告等</w:t>
      </w:r>
      <w:r w:rsidRPr="00D31AC6">
        <w:rPr>
          <w:rFonts w:ascii="Times New Roman" w:eastAsia="標楷體" w:hAnsi="Times New Roman" w:cs="Times New Roman"/>
          <w:kern w:val="2"/>
          <w:szCs w:val="20"/>
        </w:rPr>
        <w:t>)</w:t>
      </w:r>
      <w:r w:rsidRPr="00D31AC6">
        <w:rPr>
          <w:rFonts w:ascii="Times New Roman" w:eastAsia="標楷體" w:hAnsi="Times New Roman" w:cs="Times New Roman"/>
          <w:kern w:val="2"/>
          <w:szCs w:val="20"/>
        </w:rPr>
        <w:t>、英語測驗成績證明。</w:t>
      </w:r>
    </w:p>
    <w:p w14:paraId="531D6FB5" w14:textId="1FBC009D" w:rsidR="00AA08F4" w:rsidRPr="00D31AC6" w:rsidRDefault="00AA08F4" w:rsidP="00AA08F4">
      <w:pPr>
        <w:widowControl w:val="0"/>
        <w:numPr>
          <w:ilvl w:val="0"/>
          <w:numId w:val="3"/>
        </w:numPr>
        <w:spacing w:beforeLines="50" w:before="180"/>
        <w:jc w:val="both"/>
        <w:rPr>
          <w:rFonts w:ascii="Times New Roman" w:eastAsia="標楷體" w:hAnsi="Times New Roman" w:cs="Times New Roman"/>
          <w:color w:val="000000"/>
          <w:kern w:val="2"/>
          <w:szCs w:val="20"/>
        </w:rPr>
      </w:pPr>
      <w:r w:rsidRPr="00D31AC6">
        <w:rPr>
          <w:rFonts w:ascii="Times New Roman" w:eastAsia="標楷體" w:hAnsi="Times New Roman" w:cs="Times New Roman"/>
          <w:color w:val="000000"/>
          <w:kern w:val="2"/>
          <w:szCs w:val="28"/>
        </w:rPr>
        <w:t>凡獲得本辦法之獎勵者，須在本系完成博士學業；除重大因</w:t>
      </w:r>
      <w:r w:rsidR="00C62703" w:rsidRPr="00C62703">
        <w:rPr>
          <w:rFonts w:ascii="Times New Roman" w:eastAsia="標楷體" w:hAnsi="Times New Roman" w:cs="Times New Roman" w:hint="eastAsia"/>
          <w:color w:val="FF0000"/>
          <w:kern w:val="2"/>
          <w:szCs w:val="28"/>
        </w:rPr>
        <w:t>素</w:t>
      </w:r>
      <w:r w:rsidRPr="00D31AC6">
        <w:rPr>
          <w:rFonts w:ascii="Times New Roman" w:eastAsia="標楷體" w:hAnsi="Times New Roman" w:cs="Times New Roman"/>
          <w:color w:val="000000"/>
          <w:kern w:val="2"/>
          <w:szCs w:val="28"/>
        </w:rPr>
        <w:t>外，未能完成學業者，必須以捐贈國立中興大學並指定化工系獎學金專用方式退還所領全額獎學金。</w:t>
      </w:r>
    </w:p>
    <w:p w14:paraId="2B5345B4" w14:textId="77777777" w:rsidR="00AA08F4" w:rsidRPr="00D31AC6" w:rsidRDefault="00AA08F4" w:rsidP="00AA08F4">
      <w:pPr>
        <w:widowControl w:val="0"/>
        <w:numPr>
          <w:ilvl w:val="0"/>
          <w:numId w:val="3"/>
        </w:numPr>
        <w:spacing w:beforeLines="50" w:before="180"/>
        <w:ind w:left="1077" w:hanging="1077"/>
        <w:jc w:val="both"/>
        <w:rPr>
          <w:rFonts w:ascii="Times New Roman" w:eastAsia="標楷體" w:hAnsi="Times New Roman" w:cs="Times New Roman"/>
          <w:kern w:val="2"/>
          <w:szCs w:val="20"/>
        </w:rPr>
      </w:pPr>
      <w:r w:rsidRPr="00D31AC6">
        <w:rPr>
          <w:rFonts w:ascii="Times New Roman" w:eastAsia="標楷體" w:hAnsi="Times New Roman" w:cs="Times New Roman"/>
          <w:kern w:val="2"/>
          <w:szCs w:val="20"/>
        </w:rPr>
        <w:t>本辦法經系</w:t>
      </w:r>
      <w:proofErr w:type="gramStart"/>
      <w:r w:rsidRPr="00D31AC6">
        <w:rPr>
          <w:rFonts w:ascii="Times New Roman" w:eastAsia="標楷體" w:hAnsi="Times New Roman" w:cs="Times New Roman"/>
          <w:kern w:val="2"/>
          <w:szCs w:val="20"/>
        </w:rPr>
        <w:t>務</w:t>
      </w:r>
      <w:proofErr w:type="gramEnd"/>
      <w:r w:rsidRPr="00D31AC6">
        <w:rPr>
          <w:rFonts w:ascii="Times New Roman" w:eastAsia="標楷體" w:hAnsi="Times New Roman" w:cs="Times New Roman"/>
          <w:kern w:val="2"/>
          <w:szCs w:val="20"/>
        </w:rPr>
        <w:t>會議通過後實施，修正時亦同。</w:t>
      </w:r>
    </w:p>
    <w:p w14:paraId="34A5CC41" w14:textId="77777777" w:rsidR="00AA08F4" w:rsidRPr="00D31AC6" w:rsidRDefault="00AA08F4" w:rsidP="00AA08F4">
      <w:pPr>
        <w:widowControl w:val="0"/>
        <w:spacing w:beforeLines="50" w:before="180"/>
        <w:jc w:val="both"/>
        <w:rPr>
          <w:rFonts w:ascii="Times New Roman" w:eastAsia="標楷體" w:hAnsi="Times New Roman" w:cs="Times New Roman"/>
          <w:kern w:val="2"/>
          <w:szCs w:val="20"/>
        </w:rPr>
      </w:pPr>
    </w:p>
    <w:p w14:paraId="5799A67D" w14:textId="77777777" w:rsidR="00AA08F4" w:rsidRPr="00D31AC6" w:rsidRDefault="00AA08F4" w:rsidP="00AA08F4">
      <w:pPr>
        <w:widowControl w:val="0"/>
        <w:spacing w:beforeLines="50" w:before="180"/>
        <w:jc w:val="both"/>
        <w:rPr>
          <w:rFonts w:ascii="Times New Roman" w:eastAsia="標楷體" w:hAnsi="Times New Roman" w:cs="Times New Roman"/>
          <w:kern w:val="2"/>
          <w:szCs w:val="20"/>
        </w:rPr>
      </w:pPr>
    </w:p>
    <w:p w14:paraId="3C94F130" w14:textId="77777777" w:rsidR="00AA08F4" w:rsidRDefault="00AA08F4" w:rsidP="00AA08F4">
      <w:pPr>
        <w:widowControl w:val="0"/>
        <w:spacing w:beforeLines="50" w:before="180"/>
        <w:jc w:val="both"/>
        <w:rPr>
          <w:rFonts w:ascii="標楷體" w:eastAsia="標楷體" w:hAnsi="標楷體" w:cs="Times New Roman"/>
          <w:kern w:val="2"/>
          <w:szCs w:val="20"/>
        </w:rPr>
      </w:pPr>
    </w:p>
    <w:p w14:paraId="38F587DE" w14:textId="77777777" w:rsidR="00397157" w:rsidRPr="00AA08F4" w:rsidRDefault="00397157"/>
    <w:sectPr w:rsidR="00397157" w:rsidRPr="00AA08F4" w:rsidSect="003A750E">
      <w:pgSz w:w="11906" w:h="16838"/>
      <w:pgMar w:top="1440" w:right="1133"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2E2F" w14:textId="77777777" w:rsidR="00334C63" w:rsidRDefault="00334C63" w:rsidP="003A750E">
      <w:r>
        <w:separator/>
      </w:r>
    </w:p>
  </w:endnote>
  <w:endnote w:type="continuationSeparator" w:id="0">
    <w:p w14:paraId="42CB4FDB" w14:textId="77777777" w:rsidR="00334C63" w:rsidRDefault="00334C63" w:rsidP="003A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A446" w14:textId="77777777" w:rsidR="00334C63" w:rsidRDefault="00334C63" w:rsidP="003A750E">
      <w:r>
        <w:separator/>
      </w:r>
    </w:p>
  </w:footnote>
  <w:footnote w:type="continuationSeparator" w:id="0">
    <w:p w14:paraId="38B22651" w14:textId="77777777" w:rsidR="00334C63" w:rsidRDefault="00334C63" w:rsidP="003A7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C1DEE"/>
    <w:multiLevelType w:val="hybridMultilevel"/>
    <w:tmpl w:val="C5FAA16C"/>
    <w:lvl w:ilvl="0" w:tplc="478EA38E">
      <w:start w:val="1"/>
      <w:numFmt w:val="taiwaneseCountingThousand"/>
      <w:lvlText w:val="第%1條、"/>
      <w:lvlJc w:val="left"/>
      <w:pPr>
        <w:tabs>
          <w:tab w:val="num" w:pos="1080"/>
        </w:tabs>
        <w:ind w:left="1080" w:hanging="1080"/>
      </w:pPr>
      <w:rPr>
        <w:rFonts w:hint="default"/>
        <w:color w:val="000000"/>
        <w:lang w:val="en-US"/>
      </w:rPr>
    </w:lvl>
    <w:lvl w:ilvl="1" w:tplc="04090019" w:tentative="1">
      <w:start w:val="1"/>
      <w:numFmt w:val="ideographTraditional"/>
      <w:lvlText w:val="%2、"/>
      <w:lvlJc w:val="left"/>
      <w:pPr>
        <w:tabs>
          <w:tab w:val="num" w:pos="-212"/>
        </w:tabs>
        <w:ind w:left="-212" w:hanging="480"/>
      </w:pPr>
    </w:lvl>
    <w:lvl w:ilvl="2" w:tplc="0409001B" w:tentative="1">
      <w:start w:val="1"/>
      <w:numFmt w:val="lowerRoman"/>
      <w:lvlText w:val="%3."/>
      <w:lvlJc w:val="right"/>
      <w:pPr>
        <w:tabs>
          <w:tab w:val="num" w:pos="268"/>
        </w:tabs>
        <w:ind w:left="268" w:hanging="480"/>
      </w:pPr>
    </w:lvl>
    <w:lvl w:ilvl="3" w:tplc="0409000F" w:tentative="1">
      <w:start w:val="1"/>
      <w:numFmt w:val="decimal"/>
      <w:lvlText w:val="%4."/>
      <w:lvlJc w:val="left"/>
      <w:pPr>
        <w:tabs>
          <w:tab w:val="num" w:pos="748"/>
        </w:tabs>
        <w:ind w:left="748" w:hanging="480"/>
      </w:pPr>
    </w:lvl>
    <w:lvl w:ilvl="4" w:tplc="04090019" w:tentative="1">
      <w:start w:val="1"/>
      <w:numFmt w:val="ideographTraditional"/>
      <w:lvlText w:val="%5、"/>
      <w:lvlJc w:val="left"/>
      <w:pPr>
        <w:tabs>
          <w:tab w:val="num" w:pos="1228"/>
        </w:tabs>
        <w:ind w:left="1228" w:hanging="480"/>
      </w:pPr>
    </w:lvl>
    <w:lvl w:ilvl="5" w:tplc="0409001B" w:tentative="1">
      <w:start w:val="1"/>
      <w:numFmt w:val="lowerRoman"/>
      <w:lvlText w:val="%6."/>
      <w:lvlJc w:val="right"/>
      <w:pPr>
        <w:tabs>
          <w:tab w:val="num" w:pos="1708"/>
        </w:tabs>
        <w:ind w:left="1708" w:hanging="480"/>
      </w:pPr>
    </w:lvl>
    <w:lvl w:ilvl="6" w:tplc="0409000F" w:tentative="1">
      <w:start w:val="1"/>
      <w:numFmt w:val="decimal"/>
      <w:lvlText w:val="%7."/>
      <w:lvlJc w:val="left"/>
      <w:pPr>
        <w:tabs>
          <w:tab w:val="num" w:pos="2188"/>
        </w:tabs>
        <w:ind w:left="2188" w:hanging="480"/>
      </w:pPr>
    </w:lvl>
    <w:lvl w:ilvl="7" w:tplc="04090019" w:tentative="1">
      <w:start w:val="1"/>
      <w:numFmt w:val="ideographTraditional"/>
      <w:lvlText w:val="%8、"/>
      <w:lvlJc w:val="left"/>
      <w:pPr>
        <w:tabs>
          <w:tab w:val="num" w:pos="2668"/>
        </w:tabs>
        <w:ind w:left="2668" w:hanging="480"/>
      </w:pPr>
    </w:lvl>
    <w:lvl w:ilvl="8" w:tplc="0409001B" w:tentative="1">
      <w:start w:val="1"/>
      <w:numFmt w:val="lowerRoman"/>
      <w:lvlText w:val="%9."/>
      <w:lvlJc w:val="right"/>
      <w:pPr>
        <w:tabs>
          <w:tab w:val="num" w:pos="3148"/>
        </w:tabs>
        <w:ind w:left="3148" w:hanging="480"/>
      </w:pPr>
    </w:lvl>
  </w:abstractNum>
  <w:abstractNum w:abstractNumId="1" w15:restartNumberingAfterBreak="0">
    <w:nsid w:val="3BE57B2E"/>
    <w:multiLevelType w:val="hybridMultilevel"/>
    <w:tmpl w:val="163C6B2C"/>
    <w:lvl w:ilvl="0" w:tplc="4AA89D68">
      <w:start w:val="1"/>
      <w:numFmt w:val="decimal"/>
      <w:lvlText w:val="（%1）"/>
      <w:lvlJc w:val="left"/>
      <w:pPr>
        <w:tabs>
          <w:tab w:val="num" w:pos="1680"/>
        </w:tabs>
        <w:ind w:left="1680" w:hanging="72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B475B8A"/>
    <w:multiLevelType w:val="hybridMultilevel"/>
    <w:tmpl w:val="FFF04960"/>
    <w:lvl w:ilvl="0" w:tplc="9796D2C8">
      <w:start w:val="4"/>
      <w:numFmt w:val="decimal"/>
      <w:lvlText w:val="（%1）"/>
      <w:lvlJc w:val="left"/>
      <w:pPr>
        <w:tabs>
          <w:tab w:val="num" w:pos="1680"/>
        </w:tabs>
        <w:ind w:left="1680" w:hanging="72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D167C51"/>
    <w:multiLevelType w:val="hybridMultilevel"/>
    <w:tmpl w:val="48CC342E"/>
    <w:lvl w:ilvl="0" w:tplc="59B263F2">
      <w:start w:val="4"/>
      <w:numFmt w:val="taiwaneseCountingThousand"/>
      <w:lvlText w:val="第%1條、"/>
      <w:lvlJc w:val="left"/>
      <w:pPr>
        <w:tabs>
          <w:tab w:val="num" w:pos="1080"/>
        </w:tabs>
        <w:ind w:left="1080" w:hanging="108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F4"/>
    <w:rsid w:val="0030465F"/>
    <w:rsid w:val="00334C63"/>
    <w:rsid w:val="00397157"/>
    <w:rsid w:val="003A750E"/>
    <w:rsid w:val="00524705"/>
    <w:rsid w:val="00725D6F"/>
    <w:rsid w:val="007642AD"/>
    <w:rsid w:val="007B200B"/>
    <w:rsid w:val="0080455C"/>
    <w:rsid w:val="008477B7"/>
    <w:rsid w:val="00896337"/>
    <w:rsid w:val="009E09C2"/>
    <w:rsid w:val="00AA08F4"/>
    <w:rsid w:val="00BA5D84"/>
    <w:rsid w:val="00C62703"/>
    <w:rsid w:val="00D57EF1"/>
    <w:rsid w:val="00DB4A0D"/>
    <w:rsid w:val="00EB6025"/>
    <w:rsid w:val="00ED2A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55A21"/>
  <w15:chartTrackingRefBased/>
  <w15:docId w15:val="{AC08D4AE-7F15-47A9-B887-9FB03B0D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8F4"/>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50E"/>
    <w:pPr>
      <w:tabs>
        <w:tab w:val="center" w:pos="4153"/>
        <w:tab w:val="right" w:pos="8306"/>
      </w:tabs>
      <w:snapToGrid w:val="0"/>
    </w:pPr>
    <w:rPr>
      <w:sz w:val="20"/>
      <w:szCs w:val="20"/>
    </w:rPr>
  </w:style>
  <w:style w:type="character" w:customStyle="1" w:styleId="a4">
    <w:name w:val="頁首 字元"/>
    <w:basedOn w:val="a0"/>
    <w:link w:val="a3"/>
    <w:uiPriority w:val="99"/>
    <w:rsid w:val="003A750E"/>
    <w:rPr>
      <w:rFonts w:ascii="新細明體" w:eastAsia="新細明體" w:hAnsi="新細明體" w:cs="新細明體"/>
      <w:kern w:val="0"/>
      <w:sz w:val="20"/>
      <w:szCs w:val="20"/>
    </w:rPr>
  </w:style>
  <w:style w:type="paragraph" w:styleId="a5">
    <w:name w:val="footer"/>
    <w:basedOn w:val="a"/>
    <w:link w:val="a6"/>
    <w:uiPriority w:val="99"/>
    <w:unhideWhenUsed/>
    <w:rsid w:val="003A750E"/>
    <w:pPr>
      <w:tabs>
        <w:tab w:val="center" w:pos="4153"/>
        <w:tab w:val="right" w:pos="8306"/>
      </w:tabs>
      <w:snapToGrid w:val="0"/>
    </w:pPr>
    <w:rPr>
      <w:sz w:val="20"/>
      <w:szCs w:val="20"/>
    </w:rPr>
  </w:style>
  <w:style w:type="character" w:customStyle="1" w:styleId="a6">
    <w:name w:val="頁尾 字元"/>
    <w:basedOn w:val="a0"/>
    <w:link w:val="a5"/>
    <w:uiPriority w:val="99"/>
    <w:rsid w:val="003A750E"/>
    <w:rPr>
      <w:rFonts w:ascii="新細明體" w:eastAsia="新細明體" w:hAnsi="新細明體" w:cs="新細明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yrku</dc:creator>
  <cp:keywords/>
  <dc:description/>
  <cp:lastModifiedBy>NCHUChE</cp:lastModifiedBy>
  <cp:revision>4</cp:revision>
  <cp:lastPrinted>2024-11-06T06:56:00Z</cp:lastPrinted>
  <dcterms:created xsi:type="dcterms:W3CDTF">2024-11-06T06:14:00Z</dcterms:created>
  <dcterms:modified xsi:type="dcterms:W3CDTF">2024-11-06T06:56:00Z</dcterms:modified>
</cp:coreProperties>
</file>