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National Chung Hsing University Department of Chemical Engineering </w:t>
        <w:br w:type="textWrapping"/>
        <w:t xml:space="preserve">Ph.D. Program Scholarship Guidelines</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1</w:t>
        <w:br w:type="textWrapping"/>
      </w:r>
      <w:r w:rsidDel="00000000" w:rsidR="00000000" w:rsidRPr="00000000">
        <w:rPr>
          <w:rFonts w:ascii="Times New Roman" w:cs="Times New Roman" w:eastAsia="Times New Roman" w:hAnsi="Times New Roman"/>
          <w:sz w:val="26"/>
          <w:szCs w:val="26"/>
          <w:rtl w:val="0"/>
        </w:rPr>
        <w:t xml:space="preserve"> To encourage outstanding students to pursue a Ph.D. degree in the Department of Chemical Engineering, the "National Chung Hsing University Department of Chemical Engineering Ph.D. Program Scholarship Guidelines" (hereinafter referred to as "the Guidelines") are established.</w:t>
      </w:r>
    </w:p>
    <w:p w:rsidR="00000000" w:rsidDel="00000000" w:rsidP="00000000" w:rsidRDefault="00000000" w:rsidRPr="00000000" w14:paraId="0000000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2</w:t>
        <w:br w:type="textWrapping"/>
      </w:r>
      <w:r w:rsidDel="00000000" w:rsidR="00000000" w:rsidRPr="00000000">
        <w:rPr>
          <w:rFonts w:ascii="Times New Roman" w:cs="Times New Roman" w:eastAsia="Times New Roman" w:hAnsi="Times New Roman"/>
          <w:sz w:val="26"/>
          <w:szCs w:val="26"/>
          <w:rtl w:val="0"/>
        </w:rPr>
        <w:t xml:space="preserve"> Students pursuing a Ph.D. degree directly or those admitted to the department’s Ph.D. program through recommendation, application, or general entrance exams may apply for the scholarship annually within the first three academic years after passing the qualifying examination.</w:t>
      </w:r>
    </w:p>
    <w:p w:rsidR="00000000" w:rsidDel="00000000" w:rsidP="00000000" w:rsidRDefault="00000000" w:rsidRPr="00000000" w14:paraId="00000005">
      <w:pPr>
        <w:numPr>
          <w:ilvl w:val="0"/>
          <w:numId w:val="3"/>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maximum of 3 scholarship recipients will be awarded per academic year.</w:t>
      </w:r>
    </w:p>
    <w:p w:rsidR="00000000" w:rsidDel="00000000" w:rsidP="00000000" w:rsidRDefault="00000000" w:rsidRPr="00000000" w14:paraId="00000006">
      <w:pPr>
        <w:numPr>
          <w:ilvl w:val="0"/>
          <w:numId w:val="3"/>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Each recipient may receive NT$40,000 per academic year.</w:t>
      </w:r>
    </w:p>
    <w:p w:rsidR="00000000" w:rsidDel="00000000" w:rsidP="00000000" w:rsidRDefault="00000000" w:rsidRPr="00000000" w14:paraId="00000007">
      <w:pPr>
        <w:numPr>
          <w:ilvl w:val="0"/>
          <w:numId w:val="3"/>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Students enrolled in the program while employed or receiving research scholarships from the National Science and Technology Council (NSTC) are not eligible to apply.</w:t>
      </w:r>
    </w:p>
    <w:p w:rsidR="00000000" w:rsidDel="00000000" w:rsidP="00000000" w:rsidRDefault="00000000" w:rsidRPr="00000000" w14:paraId="000000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3</w:t>
        <w:br w:type="textWrapping"/>
      </w:r>
      <w:r w:rsidDel="00000000" w:rsidR="00000000" w:rsidRPr="00000000">
        <w:rPr>
          <w:rFonts w:ascii="Times New Roman" w:cs="Times New Roman" w:eastAsia="Times New Roman" w:hAnsi="Times New Roman"/>
          <w:sz w:val="26"/>
          <w:szCs w:val="26"/>
          <w:rtl w:val="0"/>
        </w:rPr>
        <w:t xml:space="preserve"> Before the start of each academic year, the Graduate Committee will evaluate applicants based on the following principles:</w:t>
      </w:r>
    </w:p>
    <w:p w:rsidR="00000000" w:rsidDel="00000000" w:rsidP="00000000" w:rsidRDefault="00000000" w:rsidRPr="00000000" w14:paraId="00000009">
      <w:pPr>
        <w:numPr>
          <w:ilvl w:val="0"/>
          <w:numId w:val="4"/>
        </w:numPr>
        <w:spacing w:after="0" w:afterAutospacing="0" w:before="240" w:lineRule="auto"/>
        <w:ind w:left="720" w:hanging="360"/>
        <w:rPr>
          <w:sz w:val="26"/>
          <w:szCs w:val="26"/>
        </w:rPr>
      </w:pPr>
      <w:r w:rsidDel="00000000" w:rsidR="00000000" w:rsidRPr="00000000">
        <w:rPr>
          <w:rFonts w:ascii="Times New Roman" w:cs="Times New Roman" w:eastAsia="Times New Roman" w:hAnsi="Times New Roman"/>
          <w:b w:val="1"/>
          <w:sz w:val="26"/>
          <w:szCs w:val="26"/>
          <w:rtl w:val="0"/>
        </w:rPr>
        <w:t xml:space="preserve">First Year</w:t>
      </w:r>
      <w:r w:rsidDel="00000000" w:rsidR="00000000" w:rsidRPr="00000000">
        <w:rPr>
          <w:rFonts w:ascii="Times New Roman" w:cs="Times New Roman" w:eastAsia="Times New Roman" w:hAnsi="Times New Roman"/>
          <w:sz w:val="26"/>
          <w:szCs w:val="26"/>
          <w:rtl w:val="0"/>
        </w:rPr>
        <w:t xml:space="preserve">: Applicants must pass the Ph.D. qualifying examination and demonstrate outstanding academic performance.</w:t>
      </w:r>
    </w:p>
    <w:p w:rsidR="00000000" w:rsidDel="00000000" w:rsidP="00000000" w:rsidRDefault="00000000" w:rsidRPr="00000000" w14:paraId="0000000A">
      <w:pPr>
        <w:numPr>
          <w:ilvl w:val="0"/>
          <w:numId w:val="4"/>
        </w:numPr>
        <w:spacing w:after="0" w:afterAutospacing="0" w:before="0" w:beforeAutospacing="0" w:lineRule="auto"/>
        <w:ind w:left="720" w:hanging="360"/>
        <w:rPr>
          <w:sz w:val="26"/>
          <w:szCs w:val="26"/>
        </w:rPr>
      </w:pPr>
      <w:r w:rsidDel="00000000" w:rsidR="00000000" w:rsidRPr="00000000">
        <w:rPr>
          <w:rFonts w:ascii="Times New Roman" w:cs="Times New Roman" w:eastAsia="Times New Roman" w:hAnsi="Times New Roman"/>
          <w:b w:val="1"/>
          <w:sz w:val="26"/>
          <w:szCs w:val="26"/>
          <w:rtl w:val="0"/>
        </w:rPr>
        <w:t xml:space="preserve">Second Year</w:t>
      </w:r>
      <w:r w:rsidDel="00000000" w:rsidR="00000000" w:rsidRPr="00000000">
        <w:rPr>
          <w:rFonts w:ascii="Times New Roman" w:cs="Times New Roman" w:eastAsia="Times New Roman" w:hAnsi="Times New Roman"/>
          <w:sz w:val="26"/>
          <w:szCs w:val="26"/>
          <w:rtl w:val="0"/>
        </w:rPr>
        <w:t xml:space="preserve">: Applicants must provide concrete evidence of their research achievements during their Ph.D. studies.</w:t>
      </w:r>
    </w:p>
    <w:p w:rsidR="00000000" w:rsidDel="00000000" w:rsidP="00000000" w:rsidRDefault="00000000" w:rsidRPr="00000000" w14:paraId="0000000B">
      <w:pPr>
        <w:numPr>
          <w:ilvl w:val="0"/>
          <w:numId w:val="4"/>
        </w:numPr>
        <w:spacing w:after="240" w:before="0" w:beforeAutospacing="0" w:lineRule="auto"/>
        <w:ind w:left="720" w:hanging="360"/>
        <w:rPr>
          <w:sz w:val="26"/>
          <w:szCs w:val="26"/>
        </w:rPr>
      </w:pPr>
      <w:r w:rsidDel="00000000" w:rsidR="00000000" w:rsidRPr="00000000">
        <w:rPr>
          <w:rFonts w:ascii="Times New Roman" w:cs="Times New Roman" w:eastAsia="Times New Roman" w:hAnsi="Times New Roman"/>
          <w:b w:val="1"/>
          <w:sz w:val="26"/>
          <w:szCs w:val="26"/>
          <w:rtl w:val="0"/>
        </w:rPr>
        <w:t xml:space="preserve">Third Year</w:t>
      </w:r>
      <w:r w:rsidDel="00000000" w:rsidR="00000000" w:rsidRPr="00000000">
        <w:rPr>
          <w:rFonts w:ascii="Times New Roman" w:cs="Times New Roman" w:eastAsia="Times New Roman" w:hAnsi="Times New Roman"/>
          <w:sz w:val="26"/>
          <w:szCs w:val="26"/>
          <w:rtl w:val="0"/>
        </w:rPr>
        <w:t xml:space="preserve">: Applicants must present their research achievements and provide proof of meeting the department’s English proficiency standards.</w:t>
      </w:r>
    </w:p>
    <w:p w:rsidR="00000000" w:rsidDel="00000000" w:rsidP="00000000" w:rsidRDefault="00000000" w:rsidRPr="00000000" w14:paraId="0000000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4</w:t>
        <w:br w:type="textWrapping"/>
      </w:r>
      <w:r w:rsidDel="00000000" w:rsidR="00000000" w:rsidRPr="00000000">
        <w:rPr>
          <w:rFonts w:ascii="Times New Roman" w:cs="Times New Roman" w:eastAsia="Times New Roman" w:hAnsi="Times New Roman"/>
          <w:sz w:val="26"/>
          <w:szCs w:val="26"/>
          <w:rtl w:val="0"/>
        </w:rPr>
        <w:t xml:space="preserve"> Applicants must submit the required documents by the end of July each year according to the evaluation criteria outlined in Article 3. Required documents include:</w:t>
      </w:r>
    </w:p>
    <w:p w:rsidR="00000000" w:rsidDel="00000000" w:rsidP="00000000" w:rsidRDefault="00000000" w:rsidRPr="00000000" w14:paraId="0000000D">
      <w:pPr>
        <w:numPr>
          <w:ilvl w:val="0"/>
          <w:numId w:val="2"/>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Proof of passing the Ph.D. qualifying examination</w:t>
      </w:r>
    </w:p>
    <w:p w:rsidR="00000000" w:rsidDel="00000000" w:rsidP="00000000" w:rsidRDefault="00000000" w:rsidRPr="00000000" w14:paraId="0000000E">
      <w:pPr>
        <w:numPr>
          <w:ilvl w:val="0"/>
          <w:numId w:val="2"/>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Academic transcript</w:t>
      </w:r>
    </w:p>
    <w:p w:rsidR="00000000" w:rsidDel="00000000" w:rsidP="00000000" w:rsidRDefault="00000000" w:rsidRPr="00000000" w14:paraId="0000000F">
      <w:pPr>
        <w:numPr>
          <w:ilvl w:val="0"/>
          <w:numId w:val="2"/>
        </w:numPr>
        <w:spacing w:after="0" w:afterAutospacing="0" w:before="0" w:beforeAutospacing="0" w:lineRule="auto"/>
        <w:ind w:left="720" w:hanging="360"/>
        <w:rPr>
          <w:sz w:val="26"/>
          <w:szCs w:val="26"/>
        </w:rPr>
      </w:pPr>
      <w:r w:rsidDel="00000000" w:rsidR="00000000" w:rsidRPr="00000000">
        <w:rPr>
          <w:rFonts w:ascii="Times New Roman" w:cs="Times New Roman" w:eastAsia="Times New Roman" w:hAnsi="Times New Roman"/>
          <w:b w:val="1"/>
          <w:sz w:val="26"/>
          <w:szCs w:val="26"/>
          <w:rtl w:val="0"/>
        </w:rPr>
        <w:t xml:space="preserve">Research achievement documentation</w:t>
      </w:r>
      <w:r w:rsidDel="00000000" w:rsidR="00000000" w:rsidRPr="00000000">
        <w:rPr>
          <w:rFonts w:ascii="Times New Roman" w:cs="Times New Roman" w:eastAsia="Times New Roman" w:hAnsi="Times New Roman"/>
          <w:sz w:val="26"/>
          <w:szCs w:val="26"/>
          <w:rtl w:val="0"/>
        </w:rPr>
        <w:t xml:space="preserve"> (e.g., journal papers, conference papers, patents, technical reports, etc.)</w:t>
      </w:r>
    </w:p>
    <w:p w:rsidR="00000000" w:rsidDel="00000000" w:rsidP="00000000" w:rsidRDefault="00000000" w:rsidRPr="00000000" w14:paraId="00000010">
      <w:pPr>
        <w:numPr>
          <w:ilvl w:val="0"/>
          <w:numId w:val="2"/>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English proficiency test certificate</w:t>
      </w:r>
    </w:p>
    <w:p w:rsidR="00000000" w:rsidDel="00000000" w:rsidP="00000000" w:rsidRDefault="00000000" w:rsidRPr="00000000" w14:paraId="00000011">
      <w:pPr>
        <w:spacing w:after="240" w:before="240" w:lineRule="auto"/>
        <w:rPr>
          <w:rFonts w:ascii="Times New Roman" w:cs="Times New Roman" w:eastAsia="Times New Roman" w:hAnsi="Times New Roman"/>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5</w:t>
        <w:br w:type="textWrapping"/>
      </w:r>
      <w:r w:rsidDel="00000000" w:rsidR="00000000" w:rsidRPr="00000000">
        <w:rPr>
          <w:rFonts w:ascii="Times New Roman" w:cs="Times New Roman" w:eastAsia="Times New Roman" w:hAnsi="Times New Roman"/>
          <w:sz w:val="26"/>
          <w:szCs w:val="26"/>
          <w:rtl w:val="0"/>
        </w:rPr>
        <w:t xml:space="preserve"> Recipients of this scholarship must complete their Ph.D. studies in the department.</w:t>
      </w:r>
    </w:p>
    <w:p w:rsidR="00000000" w:rsidDel="00000000" w:rsidP="00000000" w:rsidRDefault="00000000" w:rsidRPr="00000000" w14:paraId="00000013">
      <w:pPr>
        <w:numPr>
          <w:ilvl w:val="0"/>
          <w:numId w:val="1"/>
        </w:numPr>
        <w:spacing w:after="24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Except for extraordinary circumstances, recipients who fail to complete their studies must refund the full amount of the scholarship by donating it to National Chung Hsing University, specifying its use for scholarships in the Department of Chemical Engineering.</w:t>
      </w:r>
    </w:p>
    <w:p w:rsidR="00000000" w:rsidDel="00000000" w:rsidP="00000000" w:rsidRDefault="00000000" w:rsidRPr="00000000" w14:paraId="00000014">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6</w:t>
        <w:br w:type="textWrapping"/>
      </w:r>
      <w:r w:rsidDel="00000000" w:rsidR="00000000" w:rsidRPr="00000000">
        <w:rPr>
          <w:rFonts w:ascii="Times New Roman" w:cs="Times New Roman" w:eastAsia="Times New Roman" w:hAnsi="Times New Roman"/>
          <w:sz w:val="26"/>
          <w:szCs w:val="26"/>
          <w:rtl w:val="0"/>
        </w:rPr>
        <w:t xml:space="preserve"> The Guidelines will take effect upon approval by the Department Affairs Meeting. Amendments shall follow the same procedure.</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sectPr>
      <w:pgSz w:h="16838" w:w="11906" w:orient="portrait"/>
      <w:pgMar w:bottom="850.3937007874016" w:top="850.3937007874016"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