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of Department of Chemical Engineering</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Regulations for the Review of Graduate Student Service-Learning Scholarships </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and Assistantships</w:t>
      </w:r>
    </w:p>
    <w:p w:rsidR="00000000" w:rsidDel="00000000" w:rsidP="00000000" w:rsidRDefault="00000000" w:rsidRPr="00000000" w14:paraId="00000004">
      <w:pPr>
        <w:spacing w:after="240" w:befor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Approved at the Department Affairs Meeting on September 6, 2000</w:t>
        <w:br w:type="textWrapping"/>
        <w:t xml:space="preserve"> Revised and approved at the Department Affairs Meeting on June 22, 2012</w:t>
        <w:br w:type="textWrapping"/>
        <w:t xml:space="preserve"> Revised and approved at the Department Affairs Meeting on February 26, 2014 (Revised Articles 2 and 4)</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1</w:t>
        <w:br w:type="textWrapping"/>
      </w:r>
      <w:r w:rsidDel="00000000" w:rsidR="00000000" w:rsidRPr="00000000">
        <w:rPr>
          <w:rFonts w:ascii="Times New Roman" w:cs="Times New Roman" w:eastAsia="Times New Roman" w:hAnsi="Times New Roman"/>
          <w:sz w:val="26"/>
          <w:szCs w:val="26"/>
          <w:rtl w:val="0"/>
        </w:rPr>
        <w:t xml:space="preserve"> These regulations are established in accordance with the "Implementation Guidelines for Graduate Student Service-Learning Scholarships and Assistantships at National Chung Hsing University."</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2</w:t>
        <w:br w:type="textWrapping"/>
      </w:r>
      <w:r w:rsidDel="00000000" w:rsidR="00000000" w:rsidRPr="00000000">
        <w:rPr>
          <w:rFonts w:ascii="Times New Roman" w:cs="Times New Roman" w:eastAsia="Times New Roman" w:hAnsi="Times New Roman"/>
          <w:sz w:val="26"/>
          <w:szCs w:val="26"/>
          <w:rtl w:val="0"/>
        </w:rPr>
        <w:t xml:space="preserve"> Graduate students admitted to the master’s or doctoral programs in this department as regular students are eligible to apply for the Graduate Student Service-Learning Scholarship and Assistantship. Students admitted as in-service (working professionals) are not eligible. The application, review, and approval of the scholarships and assistantships are managed by the Graduate Committee of the department.</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3</w:t>
        <w:br w:type="textWrapping"/>
      </w:r>
      <w:r w:rsidDel="00000000" w:rsidR="00000000" w:rsidRPr="00000000">
        <w:rPr>
          <w:rFonts w:ascii="Times New Roman" w:cs="Times New Roman" w:eastAsia="Times New Roman" w:hAnsi="Times New Roman"/>
          <w:sz w:val="26"/>
          <w:szCs w:val="26"/>
          <w:rtl w:val="0"/>
        </w:rPr>
        <w:t xml:space="preserve"> The Graduate Student Service-Learning Scholarships and Assistantships in this department are divided into three types:</w:t>
      </w:r>
    </w:p>
    <w:p w:rsidR="00000000" w:rsidDel="00000000" w:rsidP="00000000" w:rsidRDefault="00000000" w:rsidRPr="00000000" w14:paraId="00000009">
      <w:pPr>
        <w:numPr>
          <w:ilvl w:val="0"/>
          <w:numId w:val="1"/>
        </w:numPr>
        <w:spacing w:after="0" w:afterAutospacing="0" w:before="24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Scholarships</w:t>
      </w:r>
      <w:r w:rsidDel="00000000" w:rsidR="00000000" w:rsidRPr="00000000">
        <w:rPr>
          <w:rFonts w:ascii="Times New Roman" w:cs="Times New Roman" w:eastAsia="Times New Roman" w:hAnsi="Times New Roman"/>
          <w:sz w:val="26"/>
          <w:szCs w:val="26"/>
          <w:rtl w:val="0"/>
        </w:rPr>
        <w:t xml:space="preserve">: Merit-based awards provided to outstanding students, determined through departmental review.</w:t>
      </w:r>
    </w:p>
    <w:p w:rsidR="00000000" w:rsidDel="00000000" w:rsidP="00000000" w:rsidRDefault="00000000" w:rsidRPr="00000000" w14:paraId="0000000A">
      <w:pPr>
        <w:numPr>
          <w:ilvl w:val="0"/>
          <w:numId w:val="1"/>
        </w:numPr>
        <w:spacing w:after="0" w:afterAutospacing="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Assistantships</w:t>
      </w:r>
      <w:r w:rsidDel="00000000" w:rsidR="00000000" w:rsidRPr="00000000">
        <w:rPr>
          <w:rFonts w:ascii="Times New Roman" w:cs="Times New Roman" w:eastAsia="Times New Roman" w:hAnsi="Times New Roman"/>
          <w:sz w:val="26"/>
          <w:szCs w:val="26"/>
          <w:rtl w:val="0"/>
        </w:rPr>
        <w:t xml:space="preserve">: Need-based financial support for students who assist with teaching-related tasks in the department.</w:t>
      </w:r>
    </w:p>
    <w:p w:rsidR="00000000" w:rsidDel="00000000" w:rsidP="00000000" w:rsidRDefault="00000000" w:rsidRPr="00000000" w14:paraId="0000000B">
      <w:pPr>
        <w:numPr>
          <w:ilvl w:val="0"/>
          <w:numId w:val="1"/>
        </w:numPr>
        <w:spacing w:after="240" w:before="0" w:beforeAutospacing="0" w:lineRule="auto"/>
        <w:ind w:left="720" w:hanging="360"/>
        <w:rPr>
          <w:sz w:val="26"/>
          <w:szCs w:val="26"/>
        </w:rPr>
      </w:pPr>
      <w:r w:rsidDel="00000000" w:rsidR="00000000" w:rsidRPr="00000000">
        <w:rPr>
          <w:rFonts w:ascii="Times New Roman" w:cs="Times New Roman" w:eastAsia="Times New Roman" w:hAnsi="Times New Roman"/>
          <w:b w:val="1"/>
          <w:sz w:val="26"/>
          <w:szCs w:val="26"/>
          <w:rtl w:val="0"/>
        </w:rPr>
        <w:t xml:space="preserve">Service-Learning Awards</w:t>
      </w:r>
      <w:r w:rsidDel="00000000" w:rsidR="00000000" w:rsidRPr="00000000">
        <w:rPr>
          <w:rFonts w:ascii="Times New Roman" w:cs="Times New Roman" w:eastAsia="Times New Roman" w:hAnsi="Times New Roman"/>
          <w:sz w:val="26"/>
          <w:szCs w:val="26"/>
          <w:rtl w:val="0"/>
        </w:rPr>
        <w:t xml:space="preserve">: Recognition for students who actively participate in departmental affairs and demonstrate excellent service performance.</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All types, except for scholarships, require applications with recommendations from the student’s advisor.</w:t>
      </w:r>
    </w:p>
    <w:p w:rsidR="00000000" w:rsidDel="00000000" w:rsidP="00000000" w:rsidRDefault="00000000" w:rsidRPr="00000000" w14:paraId="000000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4</w:t>
        <w:br w:type="textWrapping"/>
      </w:r>
      <w:r w:rsidDel="00000000" w:rsidR="00000000" w:rsidRPr="00000000">
        <w:rPr>
          <w:rFonts w:ascii="Times New Roman" w:cs="Times New Roman" w:eastAsia="Times New Roman" w:hAnsi="Times New Roman"/>
          <w:sz w:val="26"/>
          <w:szCs w:val="26"/>
          <w:rtl w:val="0"/>
        </w:rPr>
        <w:t xml:space="preserve"> Allocation principles for the Graduate Student Service-Learning Scholarships and Assistantships are as follows:</w:t>
      </w:r>
    </w:p>
    <w:p w:rsidR="00000000" w:rsidDel="00000000" w:rsidP="00000000" w:rsidRDefault="00000000" w:rsidRPr="00000000" w14:paraId="0000000E">
      <w:pPr>
        <w:numPr>
          <w:ilvl w:val="0"/>
          <w:numId w:val="2"/>
        </w:numPr>
        <w:spacing w:after="0" w:afterAutospacing="0" w:befor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 least 10% of the total allocation shall be designated for scholarships to reward outstanding graduate students.</w:t>
      </w:r>
    </w:p>
    <w:p w:rsidR="00000000" w:rsidDel="00000000" w:rsidP="00000000" w:rsidRDefault="00000000" w:rsidRPr="00000000" w14:paraId="0000000F">
      <w:pPr>
        <w:numPr>
          <w:ilvl w:val="0"/>
          <w:numId w:val="2"/>
        </w:numPr>
        <w:spacing w:after="0" w:afterAutospacing="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 least 30% of the total allocation shall be designated for teaching assistantships.</w:t>
      </w:r>
    </w:p>
    <w:p w:rsidR="00000000" w:rsidDel="00000000" w:rsidP="00000000" w:rsidRDefault="00000000" w:rsidRPr="00000000" w14:paraId="00000010">
      <w:pPr>
        <w:numPr>
          <w:ilvl w:val="0"/>
          <w:numId w:val="2"/>
        </w:numPr>
        <w:spacing w:after="240" w:before="0" w:beforeAutospacing="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maximum of 20% of the total allocation shall be designated for service-learning awards.</w:t>
      </w:r>
    </w:p>
    <w:p w:rsidR="00000000" w:rsidDel="00000000" w:rsidP="00000000" w:rsidRDefault="00000000" w:rsidRPr="00000000" w14:paraId="00000011">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5</w:t>
        <w:br w:type="textWrapping"/>
      </w:r>
      <w:r w:rsidDel="00000000" w:rsidR="00000000" w:rsidRPr="00000000">
        <w:rPr>
          <w:rFonts w:ascii="Times New Roman" w:cs="Times New Roman" w:eastAsia="Times New Roman" w:hAnsi="Times New Roman"/>
          <w:sz w:val="26"/>
          <w:szCs w:val="26"/>
          <w:rtl w:val="0"/>
        </w:rPr>
        <w:t xml:space="preserve"> Graduate students who fail to adequately fulfill teaching-related responsibilities or demonstrate poor performance will be subject to decisions by the Graduate Committee regarding the handling of the situation. In severe cases, their scholarships or assistantships may be revoked.</w:t>
      </w:r>
    </w:p>
    <w:p w:rsidR="00000000" w:rsidDel="00000000" w:rsidP="00000000" w:rsidRDefault="00000000" w:rsidRPr="00000000" w14:paraId="0000001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6</w:t>
        <w:br w:type="textWrapping"/>
      </w:r>
      <w:r w:rsidDel="00000000" w:rsidR="00000000" w:rsidRPr="00000000">
        <w:rPr>
          <w:rFonts w:ascii="Times New Roman" w:cs="Times New Roman" w:eastAsia="Times New Roman" w:hAnsi="Times New Roman"/>
          <w:sz w:val="26"/>
          <w:szCs w:val="26"/>
          <w:rtl w:val="0"/>
        </w:rPr>
        <w:t xml:space="preserve"> These regulations shall take effect upon approval by the Department Affairs Meeting and subsequent ratification by the university president. The same procedure applies to any amendments.</w:t>
      </w:r>
    </w:p>
    <w:sectPr>
      <w:pgSz w:h="16838" w:w="11906" w:orient="portrait"/>
      <w:pgMar w:bottom="850.3937007874016" w:top="1440.0000000000002"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