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18AE" w14:textId="2B679A91" w:rsidR="004C7D4A" w:rsidRPr="00AD1B12" w:rsidRDefault="00B92014" w:rsidP="004C7D4A">
      <w:pPr>
        <w:autoSpaceDE w:val="0"/>
        <w:autoSpaceDN w:val="0"/>
        <w:adjustRightInd w:val="0"/>
        <w:snapToGrid w:val="0"/>
        <w:jc w:val="center"/>
        <w:rPr>
          <w:rFonts w:ascii="Times New Roman" w:eastAsia="標楷體" w:hAnsi="Times New Roman" w:cs="Times New Roman"/>
          <w:color w:val="000000"/>
          <w:kern w:val="52"/>
          <w:sz w:val="30"/>
          <w:szCs w:val="30"/>
        </w:rPr>
      </w:pPr>
      <w:r w:rsidRPr="00AD1B12">
        <w:rPr>
          <w:rFonts w:ascii="Times New Roman" w:eastAsia="標楷體" w:hAnsi="Times New Roman" w:cs="Times New Roman"/>
          <w:color w:val="000000"/>
          <w:kern w:val="52"/>
          <w:sz w:val="30"/>
          <w:szCs w:val="30"/>
        </w:rPr>
        <w:t>Guidelines for Faculty Promotion Evaluation</w:t>
      </w:r>
      <w:r w:rsidRPr="00AD1B12">
        <w:rPr>
          <w:rFonts w:ascii="Times New Roman" w:eastAsia="標楷體" w:hAnsi="Times New Roman" w:cs="Times New Roman"/>
          <w:color w:val="000000"/>
          <w:kern w:val="52"/>
          <w:sz w:val="30"/>
          <w:szCs w:val="30"/>
        </w:rPr>
        <w:br/>
        <w:t xml:space="preserve">Department of Chemical Engineering, National Chung </w:t>
      </w:r>
      <w:proofErr w:type="spellStart"/>
      <w:r w:rsidRPr="00AD1B12">
        <w:rPr>
          <w:rFonts w:ascii="Times New Roman" w:eastAsia="標楷體" w:hAnsi="Times New Roman" w:cs="Times New Roman"/>
          <w:color w:val="000000"/>
          <w:kern w:val="52"/>
          <w:sz w:val="30"/>
          <w:szCs w:val="30"/>
        </w:rPr>
        <w:t>Hsing</w:t>
      </w:r>
      <w:proofErr w:type="spellEnd"/>
      <w:r w:rsidRPr="00AD1B12">
        <w:rPr>
          <w:rFonts w:ascii="Times New Roman" w:eastAsia="標楷體" w:hAnsi="Times New Roman" w:cs="Times New Roman"/>
          <w:color w:val="000000"/>
          <w:kern w:val="52"/>
          <w:sz w:val="30"/>
          <w:szCs w:val="30"/>
        </w:rPr>
        <w:t xml:space="preserve"> University</w:t>
      </w:r>
      <w:r w:rsidRPr="00AD1B12">
        <w:rPr>
          <w:rFonts w:ascii="Times New Roman" w:eastAsia="標楷體" w:hAnsi="Times New Roman" w:cs="Times New Roman"/>
          <w:color w:val="000000"/>
          <w:kern w:val="52"/>
          <w:sz w:val="30"/>
          <w:szCs w:val="30"/>
        </w:rPr>
        <w:t xml:space="preserve"> </w:t>
      </w:r>
    </w:p>
    <w:p w14:paraId="76814361" w14:textId="77777777" w:rsidR="00B92014" w:rsidRPr="00AD1B12" w:rsidRDefault="00B92014" w:rsidP="00B92014">
      <w:pPr>
        <w:adjustRightInd w:val="0"/>
        <w:snapToGrid w:val="0"/>
        <w:jc w:val="right"/>
        <w:rPr>
          <w:rFonts w:ascii="Times New Roman" w:eastAsia="標楷體" w:hAnsi="Times New Roman" w:cs="Times New Roman"/>
          <w:color w:val="000000"/>
          <w:sz w:val="16"/>
          <w:szCs w:val="20"/>
        </w:rPr>
      </w:pPr>
      <w:r w:rsidRPr="00AD1B12">
        <w:rPr>
          <w:rFonts w:ascii="Times New Roman" w:eastAsia="標楷體" w:hAnsi="Times New Roman" w:cs="Times New Roman"/>
          <w:color w:val="000000"/>
          <w:sz w:val="16"/>
          <w:szCs w:val="20"/>
        </w:rPr>
        <w:t>Approved and implemented at the departmental meeting on June 18, 1998.</w:t>
      </w:r>
    </w:p>
    <w:p w14:paraId="5802E0BD" w14:textId="77777777" w:rsidR="00B92014" w:rsidRPr="00AD1B12" w:rsidRDefault="00B92014" w:rsidP="00B92014">
      <w:pPr>
        <w:adjustRightInd w:val="0"/>
        <w:snapToGrid w:val="0"/>
        <w:jc w:val="right"/>
        <w:rPr>
          <w:rFonts w:ascii="Times New Roman" w:eastAsia="標楷體" w:hAnsi="Times New Roman" w:cs="Times New Roman"/>
          <w:color w:val="000000"/>
          <w:sz w:val="16"/>
          <w:szCs w:val="20"/>
        </w:rPr>
      </w:pPr>
      <w:r w:rsidRPr="00AD1B12">
        <w:rPr>
          <w:rFonts w:ascii="Times New Roman" w:eastAsia="標楷體" w:hAnsi="Times New Roman" w:cs="Times New Roman"/>
          <w:color w:val="000000"/>
          <w:sz w:val="16"/>
          <w:szCs w:val="20"/>
        </w:rPr>
        <w:t>Amended and approved at the departmental meeting on October 14, 2005.</w:t>
      </w:r>
    </w:p>
    <w:p w14:paraId="0174A049" w14:textId="77777777" w:rsidR="00B92014" w:rsidRPr="00AD1B12" w:rsidRDefault="00B92014" w:rsidP="00B92014">
      <w:pPr>
        <w:adjustRightInd w:val="0"/>
        <w:snapToGrid w:val="0"/>
        <w:jc w:val="right"/>
        <w:rPr>
          <w:rFonts w:ascii="Times New Roman" w:eastAsia="標楷體" w:hAnsi="Times New Roman" w:cs="Times New Roman"/>
          <w:color w:val="000000"/>
          <w:sz w:val="16"/>
          <w:szCs w:val="20"/>
        </w:rPr>
      </w:pPr>
      <w:r w:rsidRPr="00AD1B12">
        <w:rPr>
          <w:rFonts w:ascii="Times New Roman" w:eastAsia="標楷體" w:hAnsi="Times New Roman" w:cs="Times New Roman"/>
          <w:color w:val="000000"/>
          <w:sz w:val="16"/>
          <w:szCs w:val="20"/>
        </w:rPr>
        <w:t>Amended and approved at the departmental meeting on May 14, 2008.</w:t>
      </w:r>
    </w:p>
    <w:p w14:paraId="7235BA07" w14:textId="77777777" w:rsidR="00B92014" w:rsidRPr="00AD1B12" w:rsidRDefault="00B92014" w:rsidP="00B92014">
      <w:pPr>
        <w:adjustRightInd w:val="0"/>
        <w:snapToGrid w:val="0"/>
        <w:jc w:val="right"/>
        <w:rPr>
          <w:rFonts w:ascii="Times New Roman" w:eastAsia="標楷體" w:hAnsi="Times New Roman" w:cs="Times New Roman"/>
          <w:color w:val="000000"/>
          <w:sz w:val="16"/>
          <w:szCs w:val="20"/>
        </w:rPr>
      </w:pPr>
      <w:r w:rsidRPr="00AD1B12">
        <w:rPr>
          <w:rFonts w:ascii="Times New Roman" w:eastAsia="標楷體" w:hAnsi="Times New Roman" w:cs="Times New Roman"/>
          <w:color w:val="000000"/>
          <w:sz w:val="16"/>
          <w:szCs w:val="20"/>
        </w:rPr>
        <w:t>Amended and approved at the departmental meeting on October 15, 2008.</w:t>
      </w:r>
    </w:p>
    <w:p w14:paraId="122E9083" w14:textId="77777777" w:rsidR="00B92014" w:rsidRPr="00AD1B12" w:rsidRDefault="00B92014" w:rsidP="00B92014">
      <w:pPr>
        <w:adjustRightInd w:val="0"/>
        <w:snapToGrid w:val="0"/>
        <w:jc w:val="right"/>
        <w:rPr>
          <w:rFonts w:ascii="Times New Roman" w:eastAsia="標楷體" w:hAnsi="Times New Roman" w:cs="Times New Roman"/>
          <w:color w:val="000000"/>
          <w:sz w:val="16"/>
          <w:szCs w:val="20"/>
        </w:rPr>
      </w:pPr>
      <w:r w:rsidRPr="00AD1B12">
        <w:rPr>
          <w:rFonts w:ascii="Times New Roman" w:eastAsia="標楷體" w:hAnsi="Times New Roman" w:cs="Times New Roman"/>
          <w:color w:val="000000"/>
          <w:sz w:val="16"/>
          <w:szCs w:val="20"/>
        </w:rPr>
        <w:t>Amended and approved at the departmental meeting on October 27, 2010 (Article 3).</w:t>
      </w:r>
    </w:p>
    <w:p w14:paraId="1F6ABB3F" w14:textId="77777777" w:rsidR="00B92014" w:rsidRPr="00AD1B12" w:rsidRDefault="00B92014" w:rsidP="00B92014">
      <w:pPr>
        <w:adjustRightInd w:val="0"/>
        <w:snapToGrid w:val="0"/>
        <w:jc w:val="right"/>
        <w:rPr>
          <w:rFonts w:ascii="Times New Roman" w:eastAsia="標楷體" w:hAnsi="Times New Roman" w:cs="Times New Roman"/>
          <w:color w:val="000000"/>
          <w:sz w:val="16"/>
          <w:szCs w:val="20"/>
        </w:rPr>
      </w:pPr>
      <w:r w:rsidRPr="00AD1B12">
        <w:rPr>
          <w:rFonts w:ascii="Times New Roman" w:eastAsia="標楷體" w:hAnsi="Times New Roman" w:cs="Times New Roman"/>
          <w:color w:val="000000"/>
          <w:sz w:val="16"/>
          <w:szCs w:val="20"/>
        </w:rPr>
        <w:t>Amended and approved at the departmental meeting on January 20, 2016 (Article 3).</w:t>
      </w:r>
    </w:p>
    <w:p w14:paraId="5C9E2891" w14:textId="77777777" w:rsidR="00B92014" w:rsidRPr="00AD1B12" w:rsidRDefault="00B92014" w:rsidP="00B92014">
      <w:pPr>
        <w:adjustRightInd w:val="0"/>
        <w:snapToGrid w:val="0"/>
        <w:jc w:val="right"/>
        <w:rPr>
          <w:rFonts w:ascii="Times New Roman" w:eastAsia="標楷體" w:hAnsi="Times New Roman" w:cs="Times New Roman"/>
          <w:color w:val="000000"/>
          <w:sz w:val="16"/>
          <w:szCs w:val="20"/>
        </w:rPr>
      </w:pPr>
      <w:r w:rsidRPr="00AD1B12">
        <w:rPr>
          <w:rFonts w:ascii="Times New Roman" w:eastAsia="標楷體" w:hAnsi="Times New Roman" w:cs="Times New Roman"/>
          <w:color w:val="000000"/>
          <w:sz w:val="16"/>
          <w:szCs w:val="20"/>
        </w:rPr>
        <w:t>Amended and approved at the departmental meeting on November 7, 2018 (Article 2).</w:t>
      </w:r>
    </w:p>
    <w:p w14:paraId="3A8723DC" w14:textId="77777777" w:rsidR="00B92014" w:rsidRPr="00AD1B12" w:rsidRDefault="00B92014" w:rsidP="00B92014">
      <w:pPr>
        <w:adjustRightInd w:val="0"/>
        <w:snapToGrid w:val="0"/>
        <w:jc w:val="right"/>
        <w:rPr>
          <w:rFonts w:ascii="Times New Roman" w:eastAsia="標楷體" w:hAnsi="Times New Roman" w:cs="Times New Roman"/>
          <w:color w:val="000000"/>
          <w:sz w:val="16"/>
          <w:szCs w:val="20"/>
        </w:rPr>
      </w:pPr>
      <w:r w:rsidRPr="00AD1B12">
        <w:rPr>
          <w:rFonts w:ascii="Times New Roman" w:eastAsia="標楷體" w:hAnsi="Times New Roman" w:cs="Times New Roman"/>
          <w:color w:val="000000"/>
          <w:sz w:val="16"/>
          <w:szCs w:val="20"/>
        </w:rPr>
        <w:t>Amended and approved at the departmental meeting on March 10, 2021 (Article 3, Section 5 and Article 4).</w:t>
      </w:r>
    </w:p>
    <w:p w14:paraId="28435D8F" w14:textId="6D7778F3" w:rsidR="004C7D4A" w:rsidRPr="00AD1B12" w:rsidRDefault="00B92014" w:rsidP="00B92014">
      <w:pPr>
        <w:adjustRightInd w:val="0"/>
        <w:snapToGrid w:val="0"/>
        <w:jc w:val="right"/>
        <w:rPr>
          <w:rFonts w:ascii="Times New Roman" w:eastAsia="標楷體" w:hAnsi="Times New Roman" w:cs="Times New Roman"/>
          <w:color w:val="FF0000"/>
          <w:sz w:val="16"/>
          <w:szCs w:val="20"/>
        </w:rPr>
      </w:pPr>
      <w:r w:rsidRPr="00AD1B12">
        <w:rPr>
          <w:rFonts w:ascii="Times New Roman" w:eastAsia="標楷體" w:hAnsi="Times New Roman" w:cs="Times New Roman"/>
          <w:color w:val="000000"/>
          <w:sz w:val="16"/>
          <w:szCs w:val="20"/>
          <w:highlight w:val="yellow"/>
        </w:rPr>
        <w:t>Amended and approved at the departmental meeting on September 15, 2021 (Article 4, Section 2).</w:t>
      </w:r>
      <w:r w:rsidR="004C7D4A" w:rsidRPr="00AD1B12">
        <w:rPr>
          <w:rFonts w:ascii="Times New Roman" w:eastAsia="標楷體" w:hAnsi="Times New Roman" w:cs="Times New Roman"/>
          <w:color w:val="000000" w:themeColor="text1"/>
          <w:sz w:val="16"/>
          <w:szCs w:val="20"/>
          <w:highlight w:val="yellow"/>
        </w:rPr>
        <w:t>)</w:t>
      </w:r>
      <w:r w:rsidRPr="00AD1B12">
        <w:rPr>
          <w:rFonts w:ascii="Times New Roman" w:eastAsia="標楷體" w:hAnsi="Times New Roman" w:cs="Times New Roman"/>
          <w:color w:val="000000" w:themeColor="text1"/>
          <w:sz w:val="16"/>
          <w:szCs w:val="20"/>
        </w:rPr>
        <w:t xml:space="preserve"> </w:t>
      </w:r>
    </w:p>
    <w:p w14:paraId="3B68FB22" w14:textId="77777777" w:rsidR="004C7D4A" w:rsidRPr="00AD1B12" w:rsidRDefault="004C7D4A" w:rsidP="004C7D4A">
      <w:pPr>
        <w:adjustRightInd w:val="0"/>
        <w:snapToGrid w:val="0"/>
        <w:jc w:val="right"/>
        <w:rPr>
          <w:rFonts w:ascii="Times New Roman" w:eastAsia="標楷體" w:hAnsi="Times New Roman" w:cs="Times New Roman"/>
          <w:color w:val="000000"/>
          <w:sz w:val="16"/>
          <w:szCs w:val="20"/>
        </w:rPr>
      </w:pPr>
    </w:p>
    <w:p w14:paraId="45772C6E" w14:textId="77777777" w:rsidR="004C7D4A" w:rsidRPr="00AD1B12" w:rsidRDefault="004C7D4A" w:rsidP="00B92014">
      <w:pPr>
        <w:adjustRightInd w:val="0"/>
        <w:snapToGrid w:val="0"/>
        <w:rPr>
          <w:rFonts w:ascii="Times New Roman" w:eastAsia="標楷體" w:hAnsi="Times New Roman" w:cs="Times New Roman"/>
          <w:color w:val="000000"/>
          <w:sz w:val="16"/>
          <w:szCs w:val="20"/>
        </w:rPr>
      </w:pPr>
    </w:p>
    <w:p w14:paraId="6A357423" w14:textId="77777777" w:rsidR="00B92014" w:rsidRPr="00AD1B12" w:rsidRDefault="00B92014" w:rsidP="00B92014">
      <w:pPr>
        <w:tabs>
          <w:tab w:val="left" w:pos="2590"/>
        </w:tabs>
        <w:adjustRightInd w:val="0"/>
        <w:snapToGrid w:val="0"/>
        <w:textAlignment w:val="baseline"/>
        <w:rPr>
          <w:rFonts w:ascii="Times New Roman" w:eastAsia="標楷體" w:hAnsi="Times New Roman" w:cs="Times New Roman"/>
          <w:color w:val="000000"/>
        </w:rPr>
      </w:pPr>
      <w:r w:rsidRPr="00AD1B12">
        <w:rPr>
          <w:rFonts w:ascii="Times New Roman" w:eastAsia="標楷體" w:hAnsi="Times New Roman" w:cs="Times New Roman"/>
          <w:color w:val="000000"/>
        </w:rPr>
        <w:t>Article 1: Purpose</w:t>
      </w:r>
    </w:p>
    <w:p w14:paraId="1FB5500A" w14:textId="77777777" w:rsidR="00B92014" w:rsidRPr="00AD1B12" w:rsidRDefault="00B92014" w:rsidP="00B92014">
      <w:pPr>
        <w:tabs>
          <w:tab w:val="left" w:pos="2590"/>
        </w:tabs>
        <w:adjustRightInd w:val="0"/>
        <w:snapToGrid w:val="0"/>
        <w:textAlignment w:val="baseline"/>
        <w:rPr>
          <w:rFonts w:ascii="Times New Roman" w:eastAsia="標楷體" w:hAnsi="Times New Roman" w:cs="Times New Roman"/>
          <w:color w:val="000000"/>
        </w:rPr>
      </w:pPr>
      <w:r w:rsidRPr="00AD1B12">
        <w:rPr>
          <w:rFonts w:ascii="Times New Roman" w:eastAsia="標楷體" w:hAnsi="Times New Roman" w:cs="Times New Roman"/>
          <w:color w:val="000000"/>
        </w:rPr>
        <w:t xml:space="preserve">These guidelines are formulated based on the "Faculty Appointment and Promotion Guidelines of the College of Engineering, National Chung </w:t>
      </w:r>
      <w:proofErr w:type="spellStart"/>
      <w:r w:rsidRPr="00AD1B12">
        <w:rPr>
          <w:rFonts w:ascii="Times New Roman" w:eastAsia="標楷體" w:hAnsi="Times New Roman" w:cs="Times New Roman"/>
          <w:color w:val="000000"/>
        </w:rPr>
        <w:t>Hsing</w:t>
      </w:r>
      <w:proofErr w:type="spellEnd"/>
      <w:r w:rsidRPr="00AD1B12">
        <w:rPr>
          <w:rFonts w:ascii="Times New Roman" w:eastAsia="標楷體" w:hAnsi="Times New Roman" w:cs="Times New Roman"/>
          <w:color w:val="000000"/>
        </w:rPr>
        <w:t xml:space="preserve"> University." Matters not explicitly stipulated herein shall be handled in accordance with the above-mentioned guidelines.</w:t>
      </w:r>
    </w:p>
    <w:p w14:paraId="61EB0127" w14:textId="77777777" w:rsidR="00B92014" w:rsidRPr="00AD1B12" w:rsidRDefault="00B92014" w:rsidP="00B92014">
      <w:pPr>
        <w:tabs>
          <w:tab w:val="left" w:pos="2590"/>
        </w:tabs>
        <w:adjustRightInd w:val="0"/>
        <w:snapToGrid w:val="0"/>
        <w:textAlignment w:val="baseline"/>
        <w:rPr>
          <w:rFonts w:ascii="Times New Roman" w:eastAsia="標楷體" w:hAnsi="Times New Roman" w:cs="Times New Roman"/>
          <w:color w:val="000000"/>
        </w:rPr>
      </w:pPr>
    </w:p>
    <w:p w14:paraId="7C4B79EF" w14:textId="609F7F7E" w:rsidR="00B92014" w:rsidRPr="00AD1B12" w:rsidRDefault="00B92014" w:rsidP="00B92014">
      <w:pPr>
        <w:tabs>
          <w:tab w:val="left" w:pos="2590"/>
        </w:tabs>
        <w:adjustRightInd w:val="0"/>
        <w:snapToGrid w:val="0"/>
        <w:textAlignment w:val="baseline"/>
        <w:rPr>
          <w:rFonts w:ascii="Times New Roman" w:eastAsia="標楷體" w:hAnsi="Times New Roman" w:cs="Times New Roman"/>
          <w:color w:val="000000"/>
        </w:rPr>
      </w:pPr>
      <w:r w:rsidRPr="00AD1B12">
        <w:rPr>
          <w:rFonts w:ascii="Times New Roman" w:eastAsia="標楷體" w:hAnsi="Times New Roman" w:cs="Times New Roman"/>
          <w:color w:val="000000"/>
        </w:rPr>
        <w:t>Article 2: Application for Promotion</w:t>
      </w:r>
    </w:p>
    <w:p w14:paraId="7691CF17" w14:textId="77777777" w:rsidR="00B92014" w:rsidRPr="00AD1B12" w:rsidRDefault="00B92014" w:rsidP="00B92014">
      <w:pPr>
        <w:tabs>
          <w:tab w:val="left" w:pos="2590"/>
        </w:tabs>
        <w:adjustRightInd w:val="0"/>
        <w:snapToGrid w:val="0"/>
        <w:textAlignment w:val="baseline"/>
        <w:rPr>
          <w:rFonts w:ascii="Times New Roman" w:eastAsia="標楷體" w:hAnsi="Times New Roman" w:cs="Times New Roman"/>
          <w:color w:val="000000"/>
        </w:rPr>
      </w:pPr>
      <w:r w:rsidRPr="00AD1B12">
        <w:rPr>
          <w:rFonts w:ascii="Times New Roman" w:eastAsia="標楷體" w:hAnsi="Times New Roman" w:cs="Times New Roman"/>
          <w:color w:val="000000"/>
        </w:rPr>
        <w:t>Full-time faculty members of the Department of Chemical Engineering (hereinafter referred to as "the Department") who meet the service duration requirements for promotion set by the Ministry of Education are eligible to apply.</w:t>
      </w:r>
    </w:p>
    <w:p w14:paraId="52C29C91" w14:textId="77777777" w:rsidR="00B92014" w:rsidRPr="00AD1B12" w:rsidRDefault="00B92014" w:rsidP="00B92014">
      <w:pPr>
        <w:tabs>
          <w:tab w:val="left" w:pos="2590"/>
        </w:tabs>
        <w:adjustRightInd w:val="0"/>
        <w:snapToGrid w:val="0"/>
        <w:textAlignment w:val="baseline"/>
        <w:rPr>
          <w:rFonts w:ascii="Times New Roman" w:eastAsia="標楷體" w:hAnsi="Times New Roman" w:cs="Times New Roman"/>
          <w:color w:val="000000"/>
        </w:rPr>
      </w:pPr>
      <w:r w:rsidRPr="00AD1B12">
        <w:rPr>
          <w:rFonts w:ascii="Times New Roman" w:eastAsia="標楷體" w:hAnsi="Times New Roman" w:cs="Times New Roman"/>
          <w:color w:val="000000"/>
        </w:rPr>
        <w:t>Application materials must include:</w:t>
      </w:r>
    </w:p>
    <w:p w14:paraId="0EFD4038" w14:textId="77777777" w:rsidR="00B92014" w:rsidRPr="00AD1B12" w:rsidRDefault="00B92014" w:rsidP="00B92014">
      <w:pPr>
        <w:tabs>
          <w:tab w:val="left" w:pos="2590"/>
        </w:tabs>
        <w:adjustRightInd w:val="0"/>
        <w:snapToGrid w:val="0"/>
        <w:textAlignment w:val="baseline"/>
        <w:rPr>
          <w:rFonts w:ascii="Times New Roman" w:eastAsia="標楷體" w:hAnsi="Times New Roman" w:cs="Times New Roman"/>
          <w:color w:val="000000"/>
        </w:rPr>
      </w:pPr>
      <w:r w:rsidRPr="00AD1B12">
        <w:rPr>
          <w:rFonts w:ascii="Times New Roman" w:eastAsia="標楷體" w:hAnsi="Times New Roman" w:cs="Times New Roman"/>
          <w:color w:val="000000"/>
        </w:rPr>
        <w:t>(1) A catalog of submitted materials and a personal academic and professional resume.</w:t>
      </w:r>
    </w:p>
    <w:p w14:paraId="24955A25" w14:textId="77777777" w:rsidR="00B92014" w:rsidRPr="00AD1B12" w:rsidRDefault="00B92014" w:rsidP="00B92014">
      <w:pPr>
        <w:tabs>
          <w:tab w:val="left" w:pos="2590"/>
        </w:tabs>
        <w:adjustRightInd w:val="0"/>
        <w:snapToGrid w:val="0"/>
        <w:textAlignment w:val="baseline"/>
        <w:rPr>
          <w:rFonts w:ascii="Times New Roman" w:eastAsia="標楷體" w:hAnsi="Times New Roman" w:cs="Times New Roman"/>
          <w:color w:val="000000"/>
        </w:rPr>
      </w:pPr>
      <w:r w:rsidRPr="00AD1B12">
        <w:rPr>
          <w:rFonts w:ascii="Times New Roman" w:eastAsia="標楷體" w:hAnsi="Times New Roman" w:cs="Times New Roman"/>
          <w:color w:val="000000"/>
        </w:rPr>
        <w:t>(2) A statement of teaching performance.</w:t>
      </w:r>
    </w:p>
    <w:p w14:paraId="10B000F4" w14:textId="77777777" w:rsidR="00B92014" w:rsidRPr="00AD1B12" w:rsidRDefault="00B92014" w:rsidP="00B92014">
      <w:pPr>
        <w:tabs>
          <w:tab w:val="left" w:pos="2590"/>
        </w:tabs>
        <w:adjustRightInd w:val="0"/>
        <w:snapToGrid w:val="0"/>
        <w:textAlignment w:val="baseline"/>
        <w:rPr>
          <w:rFonts w:ascii="Times New Roman" w:eastAsia="標楷體" w:hAnsi="Times New Roman" w:cs="Times New Roman"/>
          <w:color w:val="000000"/>
        </w:rPr>
      </w:pPr>
      <w:r w:rsidRPr="00AD1B12">
        <w:rPr>
          <w:rFonts w:ascii="Times New Roman" w:eastAsia="標楷體" w:hAnsi="Times New Roman" w:cs="Times New Roman"/>
          <w:color w:val="000000"/>
        </w:rPr>
        <w:t>(3) A statement of research performance.</w:t>
      </w:r>
    </w:p>
    <w:p w14:paraId="4B215D5E" w14:textId="77777777" w:rsidR="00B92014" w:rsidRPr="00AD1B12" w:rsidRDefault="00B92014" w:rsidP="00B92014">
      <w:pPr>
        <w:tabs>
          <w:tab w:val="left" w:pos="2590"/>
        </w:tabs>
        <w:adjustRightInd w:val="0"/>
        <w:snapToGrid w:val="0"/>
        <w:textAlignment w:val="baseline"/>
        <w:rPr>
          <w:rFonts w:ascii="Times New Roman" w:eastAsia="標楷體" w:hAnsi="Times New Roman" w:cs="Times New Roman"/>
          <w:color w:val="000000"/>
        </w:rPr>
      </w:pPr>
      <w:r w:rsidRPr="00AD1B12">
        <w:rPr>
          <w:rFonts w:ascii="Times New Roman" w:eastAsia="標楷體" w:hAnsi="Times New Roman" w:cs="Times New Roman"/>
          <w:color w:val="000000"/>
        </w:rPr>
        <w:t>(4) A statement of service performance.</w:t>
      </w:r>
    </w:p>
    <w:p w14:paraId="5A07B8FC" w14:textId="77777777" w:rsidR="00B92014" w:rsidRPr="00AD1B12" w:rsidRDefault="00B92014" w:rsidP="00B92014">
      <w:pPr>
        <w:tabs>
          <w:tab w:val="left" w:pos="2590"/>
        </w:tabs>
        <w:adjustRightInd w:val="0"/>
        <w:snapToGrid w:val="0"/>
        <w:textAlignment w:val="baseline"/>
        <w:rPr>
          <w:rFonts w:ascii="Times New Roman" w:eastAsia="標楷體" w:hAnsi="Times New Roman" w:cs="Times New Roman"/>
          <w:color w:val="000000"/>
        </w:rPr>
      </w:pPr>
      <w:r w:rsidRPr="00AD1B12">
        <w:rPr>
          <w:rFonts w:ascii="Times New Roman" w:eastAsia="標楷體" w:hAnsi="Times New Roman" w:cs="Times New Roman"/>
          <w:color w:val="000000"/>
        </w:rPr>
        <w:t>(5) Other supporting documents.</w:t>
      </w:r>
    </w:p>
    <w:p w14:paraId="12A370EB" w14:textId="78FBAD54" w:rsidR="004C7D4A" w:rsidRPr="00AD1B12" w:rsidRDefault="00B92014" w:rsidP="00B92014">
      <w:pPr>
        <w:tabs>
          <w:tab w:val="left" w:pos="2590"/>
        </w:tabs>
        <w:adjustRightInd w:val="0"/>
        <w:snapToGrid w:val="0"/>
        <w:ind w:left="2015"/>
        <w:textAlignment w:val="baseline"/>
        <w:rPr>
          <w:rFonts w:ascii="Times New Roman" w:eastAsia="標楷體" w:hAnsi="Times New Roman" w:cs="Times New Roman"/>
          <w:strike/>
        </w:rPr>
      </w:pPr>
      <w:r w:rsidRPr="00AD1B12">
        <w:rPr>
          <w:rFonts w:ascii="Times New Roman" w:eastAsia="標楷體" w:hAnsi="Times New Roman" w:cs="Times New Roman"/>
        </w:rPr>
        <w:t xml:space="preserve"> </w:t>
      </w:r>
    </w:p>
    <w:p w14:paraId="023E7121" w14:textId="79E3ACA7" w:rsidR="00352ADB" w:rsidRPr="00AD1B12" w:rsidRDefault="00352ADB" w:rsidP="00352ADB">
      <w:pPr>
        <w:pStyle w:val="Web"/>
        <w:rPr>
          <w:rFonts w:ascii="Times New Roman" w:hAnsi="Times New Roman" w:cs="Times New Roman"/>
        </w:rPr>
      </w:pPr>
      <w:r w:rsidRPr="00AD1B12">
        <w:rPr>
          <w:rStyle w:val="a3"/>
          <w:rFonts w:ascii="Times New Roman" w:hAnsi="Times New Roman" w:cs="Times New Roman"/>
          <w:b w:val="0"/>
          <w:bCs w:val="0"/>
        </w:rPr>
        <w:t xml:space="preserve">Article </w:t>
      </w:r>
      <w:r w:rsidRPr="00AD1B12">
        <w:rPr>
          <w:rStyle w:val="a3"/>
          <w:rFonts w:ascii="Times New Roman" w:hAnsi="Times New Roman" w:cs="Times New Roman"/>
          <w:b w:val="0"/>
          <w:bCs w:val="0"/>
        </w:rPr>
        <w:t>3</w:t>
      </w:r>
      <w:r w:rsidRPr="00AD1B12">
        <w:rPr>
          <w:rStyle w:val="a3"/>
          <w:rFonts w:ascii="Times New Roman" w:hAnsi="Times New Roman" w:cs="Times New Roman"/>
          <w:b w:val="0"/>
          <w:bCs w:val="0"/>
        </w:rPr>
        <w:t>: Minimum Scoring Standards for Academic Works Submitted for Promotion</w:t>
      </w:r>
    </w:p>
    <w:p w14:paraId="3086BEFA" w14:textId="77777777" w:rsidR="00352ADB" w:rsidRPr="00AD1B12" w:rsidRDefault="00352ADB" w:rsidP="00352ADB">
      <w:pPr>
        <w:pStyle w:val="Web"/>
        <w:numPr>
          <w:ilvl w:val="0"/>
          <w:numId w:val="6"/>
        </w:numPr>
        <w:rPr>
          <w:rFonts w:ascii="Times New Roman" w:hAnsi="Times New Roman" w:cs="Times New Roman"/>
        </w:rPr>
      </w:pPr>
      <w:r w:rsidRPr="00AD1B12">
        <w:rPr>
          <w:rStyle w:val="a3"/>
          <w:rFonts w:ascii="Times New Roman" w:hAnsi="Times New Roman" w:cs="Times New Roman"/>
          <w:b w:val="0"/>
          <w:bCs w:val="0"/>
        </w:rPr>
        <w:t>Basic Rules</w:t>
      </w:r>
      <w:r w:rsidRPr="00AD1B12">
        <w:rPr>
          <w:rFonts w:ascii="Times New Roman" w:hAnsi="Times New Roman" w:cs="Times New Roman"/>
        </w:rPr>
        <w:br/>
        <w:t>(1) Academic works submitted by the applicant must comply with the university's regulations.</w:t>
      </w:r>
      <w:r w:rsidRPr="00AD1B12">
        <w:rPr>
          <w:rFonts w:ascii="Times New Roman" w:hAnsi="Times New Roman" w:cs="Times New Roman"/>
        </w:rPr>
        <w:br/>
        <w:t>(2) Publications derived from thesis or dissertation content are not counted.</w:t>
      </w:r>
      <w:r w:rsidRPr="00AD1B12">
        <w:rPr>
          <w:rFonts w:ascii="Times New Roman" w:hAnsi="Times New Roman" w:cs="Times New Roman"/>
        </w:rPr>
        <w:br/>
        <w:t xml:space="preserve">(3) Research papers not published under the name of National Chung </w:t>
      </w:r>
      <w:proofErr w:type="spellStart"/>
      <w:r w:rsidRPr="00AD1B12">
        <w:rPr>
          <w:rFonts w:ascii="Times New Roman" w:hAnsi="Times New Roman" w:cs="Times New Roman"/>
        </w:rPr>
        <w:t>Hsing</w:t>
      </w:r>
      <w:proofErr w:type="spellEnd"/>
      <w:r w:rsidRPr="00AD1B12">
        <w:rPr>
          <w:rFonts w:ascii="Times New Roman" w:hAnsi="Times New Roman" w:cs="Times New Roman"/>
        </w:rPr>
        <w:t xml:space="preserve"> University are not counted.</w:t>
      </w:r>
    </w:p>
    <w:p w14:paraId="3C595B4F" w14:textId="77777777" w:rsidR="00352ADB" w:rsidRPr="00AD1B12" w:rsidRDefault="00352ADB" w:rsidP="00352ADB">
      <w:pPr>
        <w:pStyle w:val="Web"/>
        <w:numPr>
          <w:ilvl w:val="0"/>
          <w:numId w:val="6"/>
        </w:numPr>
        <w:rPr>
          <w:rFonts w:ascii="Times New Roman" w:hAnsi="Times New Roman" w:cs="Times New Roman"/>
        </w:rPr>
      </w:pPr>
      <w:r w:rsidRPr="00AD1B12">
        <w:rPr>
          <w:rFonts w:ascii="Times New Roman" w:hAnsi="Times New Roman" w:cs="Times New Roman"/>
        </w:rPr>
        <w:t>Applicants must self-evaluate their publications from the past seven years according to the methods listed below. The results must be submitted to the departmental faculty evaluation committee. The total score must meet the following minimum thresholds to apply for promotion:</w:t>
      </w:r>
    </w:p>
    <w:p w14:paraId="4B10B20D" w14:textId="77777777" w:rsidR="00352ADB" w:rsidRPr="00AD1B12" w:rsidRDefault="00352ADB" w:rsidP="00352ADB">
      <w:pPr>
        <w:numPr>
          <w:ilvl w:val="1"/>
          <w:numId w:val="6"/>
        </w:numPr>
        <w:spacing w:before="100" w:beforeAutospacing="1" w:after="100" w:afterAutospacing="1"/>
        <w:rPr>
          <w:rFonts w:ascii="Times New Roman" w:hAnsi="Times New Roman" w:cs="Times New Roman"/>
        </w:rPr>
      </w:pPr>
      <w:r w:rsidRPr="00AD1B12">
        <w:rPr>
          <w:rStyle w:val="a3"/>
          <w:rFonts w:ascii="Times New Roman" w:hAnsi="Times New Roman" w:cs="Times New Roman"/>
          <w:b w:val="0"/>
          <w:bCs w:val="0"/>
        </w:rPr>
        <w:t>Associate Professor to Professor:</w:t>
      </w:r>
      <w:r w:rsidRPr="00AD1B12">
        <w:rPr>
          <w:rFonts w:ascii="Times New Roman" w:hAnsi="Times New Roman" w:cs="Times New Roman"/>
        </w:rPr>
        <w:t xml:space="preserve"> A total score of at least 10 points.</w:t>
      </w:r>
    </w:p>
    <w:p w14:paraId="5A8B7A15" w14:textId="77777777" w:rsidR="00352ADB" w:rsidRPr="00AD1B12" w:rsidRDefault="00352ADB" w:rsidP="00352ADB">
      <w:pPr>
        <w:numPr>
          <w:ilvl w:val="1"/>
          <w:numId w:val="6"/>
        </w:numPr>
        <w:spacing w:before="100" w:beforeAutospacing="1" w:after="100" w:afterAutospacing="1"/>
        <w:rPr>
          <w:rFonts w:ascii="Times New Roman" w:hAnsi="Times New Roman" w:cs="Times New Roman"/>
        </w:rPr>
      </w:pPr>
      <w:r w:rsidRPr="00AD1B12">
        <w:rPr>
          <w:rStyle w:val="a3"/>
          <w:rFonts w:ascii="Times New Roman" w:hAnsi="Times New Roman" w:cs="Times New Roman"/>
          <w:b w:val="0"/>
          <w:bCs w:val="0"/>
        </w:rPr>
        <w:t>Assistant Professor to Associate Professor:</w:t>
      </w:r>
      <w:r w:rsidRPr="00AD1B12">
        <w:rPr>
          <w:rFonts w:ascii="Times New Roman" w:hAnsi="Times New Roman" w:cs="Times New Roman"/>
        </w:rPr>
        <w:t xml:space="preserve"> A total score of at least 4 points.</w:t>
      </w:r>
    </w:p>
    <w:p w14:paraId="33D75DE8" w14:textId="77777777" w:rsidR="00352ADB" w:rsidRPr="00AD1B12" w:rsidRDefault="00352ADB" w:rsidP="00352ADB">
      <w:pPr>
        <w:pStyle w:val="Web"/>
        <w:ind w:left="720"/>
        <w:rPr>
          <w:rFonts w:ascii="Times New Roman" w:hAnsi="Times New Roman" w:cs="Times New Roman"/>
        </w:rPr>
      </w:pPr>
      <w:r w:rsidRPr="00AD1B12">
        <w:rPr>
          <w:rFonts w:ascii="Times New Roman" w:hAnsi="Times New Roman" w:cs="Times New Roman"/>
        </w:rPr>
        <w:t>The scoring results must be verified and approved by the evaluation committee. If necessary, applicants may be invited to attend the meeting to provide clarification. Scoring methods are as follows:</w:t>
      </w:r>
    </w:p>
    <w:p w14:paraId="683A64CC" w14:textId="77777777" w:rsidR="00352ADB" w:rsidRPr="00AD1B12" w:rsidRDefault="00352ADB" w:rsidP="00352ADB">
      <w:pPr>
        <w:pStyle w:val="Web"/>
        <w:ind w:left="720"/>
        <w:rPr>
          <w:rFonts w:ascii="Times New Roman" w:hAnsi="Times New Roman" w:cs="Times New Roman"/>
        </w:rPr>
      </w:pPr>
      <w:r w:rsidRPr="00AD1B12">
        <w:rPr>
          <w:rFonts w:ascii="Times New Roman" w:hAnsi="Times New Roman" w:cs="Times New Roman"/>
        </w:rPr>
        <w:t>(1) Applicants may choose one of the following two methods:</w:t>
      </w:r>
      <w:r w:rsidRPr="00AD1B12">
        <w:rPr>
          <w:rFonts w:ascii="Times New Roman" w:hAnsi="Times New Roman" w:cs="Times New Roman"/>
        </w:rPr>
        <w:br/>
      </w:r>
      <w:r w:rsidRPr="00AD1B12">
        <w:rPr>
          <w:rStyle w:val="a3"/>
          <w:rFonts w:ascii="Times New Roman" w:hAnsi="Times New Roman" w:cs="Times New Roman"/>
          <w:b w:val="0"/>
          <w:bCs w:val="0"/>
        </w:rPr>
        <w:t>A. Ranking-Based Method:</w:t>
      </w:r>
    </w:p>
    <w:p w14:paraId="2339C5F2" w14:textId="77777777" w:rsidR="00352ADB" w:rsidRPr="00AD1B12" w:rsidRDefault="00352ADB" w:rsidP="00352ADB">
      <w:pPr>
        <w:numPr>
          <w:ilvl w:val="1"/>
          <w:numId w:val="6"/>
        </w:numPr>
        <w:spacing w:before="100" w:beforeAutospacing="1" w:after="100" w:afterAutospacing="1"/>
        <w:rPr>
          <w:rFonts w:ascii="Times New Roman" w:hAnsi="Times New Roman" w:cs="Times New Roman"/>
        </w:rPr>
      </w:pPr>
      <w:r w:rsidRPr="00AD1B12">
        <w:rPr>
          <w:rFonts w:ascii="Times New Roman" w:hAnsi="Times New Roman" w:cs="Times New Roman"/>
        </w:rPr>
        <w:t>Top 10.0% of selected field SCI journals: 4 points.</w:t>
      </w:r>
    </w:p>
    <w:p w14:paraId="7A6B949A" w14:textId="77777777" w:rsidR="00352ADB" w:rsidRPr="00AD1B12" w:rsidRDefault="00352ADB" w:rsidP="00352ADB">
      <w:pPr>
        <w:numPr>
          <w:ilvl w:val="1"/>
          <w:numId w:val="6"/>
        </w:numPr>
        <w:spacing w:before="100" w:beforeAutospacing="1" w:after="100" w:afterAutospacing="1"/>
        <w:rPr>
          <w:rFonts w:ascii="Times New Roman" w:hAnsi="Times New Roman" w:cs="Times New Roman"/>
        </w:rPr>
      </w:pPr>
      <w:r w:rsidRPr="00AD1B12">
        <w:rPr>
          <w:rFonts w:ascii="Times New Roman" w:hAnsi="Times New Roman" w:cs="Times New Roman"/>
        </w:rPr>
        <w:t>Top 25.0% of selected field SCI journals: 3 points.</w:t>
      </w:r>
    </w:p>
    <w:p w14:paraId="0C30C0EC" w14:textId="77777777" w:rsidR="00352ADB" w:rsidRPr="00AD1B12" w:rsidRDefault="00352ADB" w:rsidP="00352ADB">
      <w:pPr>
        <w:numPr>
          <w:ilvl w:val="1"/>
          <w:numId w:val="6"/>
        </w:numPr>
        <w:spacing w:before="100" w:beforeAutospacing="1" w:after="100" w:afterAutospacing="1"/>
        <w:rPr>
          <w:rFonts w:ascii="Times New Roman" w:hAnsi="Times New Roman" w:cs="Times New Roman"/>
        </w:rPr>
      </w:pPr>
      <w:r w:rsidRPr="00AD1B12">
        <w:rPr>
          <w:rFonts w:ascii="Times New Roman" w:hAnsi="Times New Roman" w:cs="Times New Roman"/>
        </w:rPr>
        <w:t>Top 50.0% of selected field SCI journals: 2 points.</w:t>
      </w:r>
    </w:p>
    <w:p w14:paraId="4565E3A4" w14:textId="77777777" w:rsidR="00352ADB" w:rsidRPr="00AD1B12" w:rsidRDefault="00352ADB" w:rsidP="00352ADB">
      <w:pPr>
        <w:numPr>
          <w:ilvl w:val="1"/>
          <w:numId w:val="6"/>
        </w:numPr>
        <w:spacing w:before="100" w:beforeAutospacing="1" w:after="100" w:afterAutospacing="1"/>
        <w:rPr>
          <w:rFonts w:ascii="Times New Roman" w:hAnsi="Times New Roman" w:cs="Times New Roman"/>
        </w:rPr>
      </w:pPr>
      <w:r w:rsidRPr="00AD1B12">
        <w:rPr>
          <w:rFonts w:ascii="Times New Roman" w:hAnsi="Times New Roman" w:cs="Times New Roman"/>
        </w:rPr>
        <w:lastRenderedPageBreak/>
        <w:t>Bottom 50.0% of selected field SCI journals: 1 point.</w:t>
      </w:r>
    </w:p>
    <w:p w14:paraId="70DAF679" w14:textId="77777777" w:rsidR="00352ADB" w:rsidRPr="00AD1B12" w:rsidRDefault="00352ADB" w:rsidP="00352ADB">
      <w:pPr>
        <w:pStyle w:val="Web"/>
        <w:ind w:left="720"/>
        <w:rPr>
          <w:rFonts w:ascii="Times New Roman" w:hAnsi="Times New Roman" w:cs="Times New Roman"/>
        </w:rPr>
      </w:pPr>
      <w:r w:rsidRPr="00AD1B12">
        <w:rPr>
          <w:rStyle w:val="a3"/>
          <w:rFonts w:ascii="Times New Roman" w:hAnsi="Times New Roman" w:cs="Times New Roman"/>
          <w:b w:val="0"/>
          <w:bCs w:val="0"/>
        </w:rPr>
        <w:t>B. Cumulative Impact Factor Method:</w:t>
      </w:r>
    </w:p>
    <w:p w14:paraId="1B2E6F61" w14:textId="77777777" w:rsidR="00352ADB" w:rsidRPr="00AD1B12" w:rsidRDefault="00352ADB" w:rsidP="00352ADB">
      <w:pPr>
        <w:numPr>
          <w:ilvl w:val="1"/>
          <w:numId w:val="6"/>
        </w:numPr>
        <w:spacing w:before="100" w:beforeAutospacing="1" w:after="100" w:afterAutospacing="1"/>
        <w:rPr>
          <w:rFonts w:ascii="Times New Roman" w:hAnsi="Times New Roman" w:cs="Times New Roman"/>
        </w:rPr>
      </w:pPr>
      <w:r w:rsidRPr="00AD1B12">
        <w:rPr>
          <w:rFonts w:ascii="Times New Roman" w:hAnsi="Times New Roman" w:cs="Times New Roman"/>
        </w:rPr>
        <w:t>Based on the latest data for the promotion year, calculated to one decimal place.</w:t>
      </w:r>
    </w:p>
    <w:p w14:paraId="5F73939C" w14:textId="77777777" w:rsidR="00352ADB" w:rsidRPr="00AD1B12" w:rsidRDefault="00352ADB" w:rsidP="00352ADB">
      <w:pPr>
        <w:pStyle w:val="Web"/>
        <w:ind w:left="720"/>
        <w:rPr>
          <w:rFonts w:ascii="Times New Roman" w:hAnsi="Times New Roman" w:cs="Times New Roman"/>
        </w:rPr>
      </w:pPr>
      <w:r w:rsidRPr="00AD1B12">
        <w:rPr>
          <w:rStyle w:val="a4"/>
          <w:rFonts w:ascii="Times New Roman" w:hAnsi="Times New Roman" w:cs="Times New Roman"/>
        </w:rPr>
        <w:t>Note: For the same journal, points for "Short Notes" are halved.</w:t>
      </w:r>
    </w:p>
    <w:p w14:paraId="6FF2AA6D" w14:textId="77777777" w:rsidR="00352ADB" w:rsidRPr="00AD1B12" w:rsidRDefault="00352ADB" w:rsidP="00352ADB">
      <w:pPr>
        <w:pStyle w:val="Web"/>
        <w:ind w:left="720"/>
        <w:rPr>
          <w:rFonts w:ascii="Times New Roman" w:hAnsi="Times New Roman" w:cs="Times New Roman"/>
        </w:rPr>
      </w:pPr>
      <w:r w:rsidRPr="00AD1B12">
        <w:rPr>
          <w:rFonts w:ascii="Times New Roman" w:hAnsi="Times New Roman" w:cs="Times New Roman"/>
        </w:rPr>
        <w:t xml:space="preserve">(2) </w:t>
      </w:r>
      <w:r w:rsidRPr="00AD1B12">
        <w:rPr>
          <w:rStyle w:val="a3"/>
          <w:rFonts w:ascii="Times New Roman" w:hAnsi="Times New Roman" w:cs="Times New Roman"/>
          <w:b w:val="0"/>
          <w:bCs w:val="0"/>
        </w:rPr>
        <w:t>Additional Scoring Rules:</w:t>
      </w:r>
    </w:p>
    <w:p w14:paraId="4B8100DF" w14:textId="77777777" w:rsidR="00352ADB" w:rsidRPr="00AD1B12" w:rsidRDefault="00352ADB" w:rsidP="00352ADB">
      <w:pPr>
        <w:numPr>
          <w:ilvl w:val="1"/>
          <w:numId w:val="6"/>
        </w:numPr>
        <w:spacing w:before="100" w:beforeAutospacing="1" w:after="100" w:afterAutospacing="1"/>
        <w:rPr>
          <w:rFonts w:ascii="Times New Roman" w:hAnsi="Times New Roman" w:cs="Times New Roman"/>
        </w:rPr>
      </w:pPr>
      <w:r w:rsidRPr="00AD1B12">
        <w:rPr>
          <w:rFonts w:ascii="Times New Roman" w:hAnsi="Times New Roman" w:cs="Times New Roman"/>
        </w:rPr>
        <w:t>Invention patents: 2 points; utility patents: 0.5 points.</w:t>
      </w:r>
    </w:p>
    <w:p w14:paraId="2F0B4CCB" w14:textId="77777777" w:rsidR="00352ADB" w:rsidRPr="00AD1B12" w:rsidRDefault="00352ADB" w:rsidP="00352ADB">
      <w:pPr>
        <w:numPr>
          <w:ilvl w:val="1"/>
          <w:numId w:val="6"/>
        </w:numPr>
        <w:spacing w:before="100" w:beforeAutospacing="1" w:after="100" w:afterAutospacing="1"/>
        <w:rPr>
          <w:rFonts w:ascii="Times New Roman" w:hAnsi="Times New Roman" w:cs="Times New Roman"/>
        </w:rPr>
      </w:pPr>
      <w:r w:rsidRPr="00AD1B12">
        <w:rPr>
          <w:rFonts w:ascii="Times New Roman" w:hAnsi="Times New Roman" w:cs="Times New Roman"/>
        </w:rPr>
        <w:t>Domestic journals: 1 point, with a maximum of 2 points counted.</w:t>
      </w:r>
    </w:p>
    <w:p w14:paraId="5F8DE328" w14:textId="77777777" w:rsidR="00352ADB" w:rsidRPr="00AD1B12" w:rsidRDefault="00352ADB" w:rsidP="00352ADB">
      <w:pPr>
        <w:numPr>
          <w:ilvl w:val="1"/>
          <w:numId w:val="6"/>
        </w:numPr>
        <w:spacing w:before="100" w:beforeAutospacing="1" w:after="100" w:afterAutospacing="1"/>
        <w:rPr>
          <w:rFonts w:ascii="Times New Roman" w:hAnsi="Times New Roman" w:cs="Times New Roman"/>
        </w:rPr>
      </w:pPr>
      <w:r w:rsidRPr="00AD1B12">
        <w:rPr>
          <w:rFonts w:ascii="Times New Roman" w:hAnsi="Times New Roman" w:cs="Times New Roman"/>
        </w:rPr>
        <w:t>For duplicate content between papers and patents, only one will be scored.</w:t>
      </w:r>
    </w:p>
    <w:p w14:paraId="61506672" w14:textId="77777777" w:rsidR="00352ADB" w:rsidRPr="00AD1B12" w:rsidRDefault="00352ADB" w:rsidP="00352ADB">
      <w:pPr>
        <w:numPr>
          <w:ilvl w:val="1"/>
          <w:numId w:val="6"/>
        </w:numPr>
        <w:spacing w:before="100" w:beforeAutospacing="1" w:after="100" w:afterAutospacing="1"/>
        <w:rPr>
          <w:rFonts w:ascii="Times New Roman" w:hAnsi="Times New Roman" w:cs="Times New Roman"/>
        </w:rPr>
      </w:pPr>
      <w:r w:rsidRPr="00AD1B12">
        <w:rPr>
          <w:rFonts w:ascii="Times New Roman" w:hAnsi="Times New Roman" w:cs="Times New Roman"/>
        </w:rPr>
        <w:t>Author credit distribution:</w:t>
      </w:r>
    </w:p>
    <w:p w14:paraId="64771959" w14:textId="77777777" w:rsidR="00352ADB" w:rsidRPr="00AD1B12" w:rsidRDefault="00352ADB" w:rsidP="00352ADB">
      <w:pPr>
        <w:numPr>
          <w:ilvl w:val="2"/>
          <w:numId w:val="6"/>
        </w:numPr>
        <w:spacing w:before="100" w:beforeAutospacing="1" w:after="100" w:afterAutospacing="1"/>
        <w:rPr>
          <w:rFonts w:ascii="Times New Roman" w:hAnsi="Times New Roman" w:cs="Times New Roman"/>
        </w:rPr>
      </w:pPr>
      <w:r w:rsidRPr="00AD1B12">
        <w:rPr>
          <w:rFonts w:ascii="Times New Roman" w:hAnsi="Times New Roman" w:cs="Times New Roman"/>
        </w:rPr>
        <w:t>Sole corresponding author: Full points.</w:t>
      </w:r>
    </w:p>
    <w:p w14:paraId="481467CA" w14:textId="77777777" w:rsidR="00352ADB" w:rsidRPr="00AD1B12" w:rsidRDefault="00352ADB" w:rsidP="00352ADB">
      <w:pPr>
        <w:numPr>
          <w:ilvl w:val="2"/>
          <w:numId w:val="6"/>
        </w:numPr>
        <w:spacing w:before="100" w:beforeAutospacing="1" w:after="100" w:afterAutospacing="1"/>
        <w:rPr>
          <w:rFonts w:ascii="Times New Roman" w:hAnsi="Times New Roman" w:cs="Times New Roman"/>
        </w:rPr>
      </w:pPr>
      <w:r w:rsidRPr="00AD1B12">
        <w:rPr>
          <w:rFonts w:ascii="Times New Roman" w:hAnsi="Times New Roman" w:cs="Times New Roman"/>
        </w:rPr>
        <w:t>Two corresponding authors: 75% of full points.</w:t>
      </w:r>
    </w:p>
    <w:p w14:paraId="51DE7EE8" w14:textId="77777777" w:rsidR="00352ADB" w:rsidRPr="00AD1B12" w:rsidRDefault="00352ADB" w:rsidP="00352ADB">
      <w:pPr>
        <w:numPr>
          <w:ilvl w:val="2"/>
          <w:numId w:val="6"/>
        </w:numPr>
        <w:spacing w:before="100" w:beforeAutospacing="1" w:after="100" w:afterAutospacing="1"/>
        <w:rPr>
          <w:rFonts w:ascii="Times New Roman" w:hAnsi="Times New Roman" w:cs="Times New Roman"/>
        </w:rPr>
      </w:pPr>
      <w:r w:rsidRPr="00AD1B12">
        <w:rPr>
          <w:rFonts w:ascii="Times New Roman" w:hAnsi="Times New Roman" w:cs="Times New Roman"/>
        </w:rPr>
        <w:t>Three corresponding authors: 50% of full points.</w:t>
      </w:r>
    </w:p>
    <w:p w14:paraId="5FB771E8" w14:textId="77777777" w:rsidR="00352ADB" w:rsidRPr="00AD1B12" w:rsidRDefault="00352ADB" w:rsidP="00352ADB">
      <w:pPr>
        <w:numPr>
          <w:ilvl w:val="2"/>
          <w:numId w:val="6"/>
        </w:numPr>
        <w:spacing w:before="100" w:beforeAutospacing="1" w:after="100" w:afterAutospacing="1"/>
        <w:rPr>
          <w:rFonts w:ascii="Times New Roman" w:hAnsi="Times New Roman" w:cs="Times New Roman"/>
        </w:rPr>
      </w:pPr>
      <w:r w:rsidRPr="00AD1B12">
        <w:rPr>
          <w:rFonts w:ascii="Times New Roman" w:hAnsi="Times New Roman" w:cs="Times New Roman"/>
        </w:rPr>
        <w:t>First author: 75% of full points.</w:t>
      </w:r>
    </w:p>
    <w:p w14:paraId="1B99B324" w14:textId="77777777" w:rsidR="00352ADB" w:rsidRPr="00AD1B12" w:rsidRDefault="00352ADB" w:rsidP="00352ADB">
      <w:pPr>
        <w:numPr>
          <w:ilvl w:val="2"/>
          <w:numId w:val="6"/>
        </w:numPr>
        <w:spacing w:before="100" w:beforeAutospacing="1" w:after="100" w:afterAutospacing="1"/>
        <w:rPr>
          <w:rFonts w:ascii="Times New Roman" w:hAnsi="Times New Roman" w:cs="Times New Roman"/>
        </w:rPr>
      </w:pPr>
      <w:r w:rsidRPr="00AD1B12">
        <w:rPr>
          <w:rFonts w:ascii="Times New Roman" w:hAnsi="Times New Roman" w:cs="Times New Roman"/>
        </w:rPr>
        <w:t>Multiple first authors: 50% of full points.</w:t>
      </w:r>
    </w:p>
    <w:p w14:paraId="727A2818" w14:textId="77777777" w:rsidR="00352ADB" w:rsidRPr="00AD1B12" w:rsidRDefault="00352ADB" w:rsidP="00352ADB">
      <w:pPr>
        <w:numPr>
          <w:ilvl w:val="2"/>
          <w:numId w:val="6"/>
        </w:numPr>
        <w:spacing w:before="100" w:beforeAutospacing="1" w:after="100" w:afterAutospacing="1"/>
        <w:rPr>
          <w:rFonts w:ascii="Times New Roman" w:hAnsi="Times New Roman" w:cs="Times New Roman"/>
        </w:rPr>
      </w:pPr>
      <w:r w:rsidRPr="00AD1B12">
        <w:rPr>
          <w:rFonts w:ascii="Times New Roman" w:hAnsi="Times New Roman" w:cs="Times New Roman"/>
        </w:rPr>
        <w:t>Non-corresponding or non-first author: Calculated as 1/N of the full points, where N is the author position.</w:t>
      </w:r>
    </w:p>
    <w:p w14:paraId="53610D84" w14:textId="36F78336" w:rsidR="00352ADB" w:rsidRPr="00AD1B12" w:rsidRDefault="00352ADB" w:rsidP="00352ADB">
      <w:pPr>
        <w:rPr>
          <w:rFonts w:ascii="Times New Roman" w:hAnsi="Times New Roman" w:cs="Times New Roman"/>
        </w:rPr>
      </w:pPr>
    </w:p>
    <w:p w14:paraId="4D5050E7" w14:textId="36C3A33F" w:rsidR="00352ADB" w:rsidRPr="00AD1B12" w:rsidRDefault="00352ADB" w:rsidP="00352ADB">
      <w:pPr>
        <w:pStyle w:val="Web"/>
        <w:rPr>
          <w:rFonts w:ascii="Times New Roman" w:hAnsi="Times New Roman" w:cs="Times New Roman"/>
        </w:rPr>
      </w:pPr>
      <w:r w:rsidRPr="00AD1B12">
        <w:rPr>
          <w:rStyle w:val="a3"/>
          <w:rFonts w:ascii="Times New Roman" w:hAnsi="Times New Roman" w:cs="Times New Roman"/>
          <w:b w:val="0"/>
          <w:bCs w:val="0"/>
        </w:rPr>
        <w:t xml:space="preserve">Article </w:t>
      </w:r>
      <w:r w:rsidRPr="00AD1B12">
        <w:rPr>
          <w:rStyle w:val="a3"/>
          <w:rFonts w:ascii="Times New Roman" w:hAnsi="Times New Roman" w:cs="Times New Roman"/>
          <w:b w:val="0"/>
          <w:bCs w:val="0"/>
        </w:rPr>
        <w:t>4</w:t>
      </w:r>
      <w:r w:rsidRPr="00AD1B12">
        <w:rPr>
          <w:rStyle w:val="a3"/>
          <w:rFonts w:ascii="Times New Roman" w:hAnsi="Times New Roman" w:cs="Times New Roman"/>
          <w:b w:val="0"/>
          <w:bCs w:val="0"/>
        </w:rPr>
        <w:t>: Evaluation Process by the Departmental Faculty Evaluation Committee</w:t>
      </w:r>
      <w:r w:rsidRPr="00AD1B12">
        <w:rPr>
          <w:rFonts w:ascii="Times New Roman" w:hAnsi="Times New Roman" w:cs="Times New Roman"/>
        </w:rPr>
        <w:br/>
        <w:t>The committee will conduct a preliminary review of basic qualifications (e.g., years of service) in accordance with the "Faculty Promotion Guidelines of the College of Engineering." The review will evaluate academic works, teaching, service, and collaboration based on departmental standards to determine if the applicant meets the promotion requirements. A vote will then decide whether the application is forwarded to the College of Engineering for further review. Additionally, the committee will recommend 10 to 12 external reviewers to the College of Engineering.</w:t>
      </w:r>
    </w:p>
    <w:p w14:paraId="1D3C807E" w14:textId="77777777" w:rsidR="00352ADB" w:rsidRPr="00AD1B12" w:rsidRDefault="00352ADB" w:rsidP="00352ADB">
      <w:pPr>
        <w:pStyle w:val="Web"/>
        <w:rPr>
          <w:rFonts w:ascii="Times New Roman" w:hAnsi="Times New Roman" w:cs="Times New Roman"/>
        </w:rPr>
      </w:pPr>
      <w:r w:rsidRPr="00AD1B12">
        <w:rPr>
          <w:rStyle w:val="a3"/>
          <w:rFonts w:ascii="Times New Roman" w:hAnsi="Times New Roman" w:cs="Times New Roman"/>
          <w:b w:val="0"/>
          <w:bCs w:val="0"/>
        </w:rPr>
        <w:t>Evaluation Process:</w:t>
      </w:r>
    </w:p>
    <w:p w14:paraId="351A1BB2" w14:textId="77777777" w:rsidR="00352ADB" w:rsidRPr="00AD1B12" w:rsidRDefault="00352ADB" w:rsidP="00AD1B12">
      <w:pPr>
        <w:pStyle w:val="Web"/>
        <w:rPr>
          <w:rFonts w:ascii="Times New Roman" w:hAnsi="Times New Roman" w:cs="Times New Roman"/>
        </w:rPr>
      </w:pPr>
      <w:r w:rsidRPr="00AD1B12">
        <w:rPr>
          <w:rStyle w:val="a3"/>
          <w:rFonts w:ascii="Times New Roman" w:hAnsi="Times New Roman" w:cs="Times New Roman"/>
          <w:b w:val="0"/>
          <w:bCs w:val="0"/>
        </w:rPr>
        <w:t>Phase 1:</w:t>
      </w:r>
    </w:p>
    <w:p w14:paraId="45A53ECD" w14:textId="77777777" w:rsidR="00352ADB" w:rsidRPr="00AD1B12" w:rsidRDefault="00352ADB" w:rsidP="00352ADB">
      <w:pPr>
        <w:numPr>
          <w:ilvl w:val="1"/>
          <w:numId w:val="7"/>
        </w:numPr>
        <w:spacing w:before="100" w:beforeAutospacing="1" w:after="100" w:afterAutospacing="1"/>
        <w:rPr>
          <w:rFonts w:ascii="Times New Roman" w:hAnsi="Times New Roman" w:cs="Times New Roman"/>
        </w:rPr>
      </w:pPr>
      <w:r w:rsidRPr="00AD1B12">
        <w:rPr>
          <w:rFonts w:ascii="Times New Roman" w:hAnsi="Times New Roman" w:cs="Times New Roman"/>
        </w:rPr>
        <w:t>The applicant gives a brief presentation (approximately 10 minutes) before the review meeting.</w:t>
      </w:r>
    </w:p>
    <w:p w14:paraId="6F670EB8" w14:textId="77777777" w:rsidR="00352ADB" w:rsidRPr="00AD1B12" w:rsidRDefault="00352ADB" w:rsidP="00352ADB">
      <w:pPr>
        <w:numPr>
          <w:ilvl w:val="1"/>
          <w:numId w:val="7"/>
        </w:numPr>
        <w:spacing w:before="100" w:beforeAutospacing="1" w:after="100" w:afterAutospacing="1"/>
        <w:rPr>
          <w:rFonts w:ascii="Times New Roman" w:hAnsi="Times New Roman" w:cs="Times New Roman"/>
        </w:rPr>
      </w:pPr>
      <w:r w:rsidRPr="00AD1B12">
        <w:rPr>
          <w:rFonts w:ascii="Times New Roman" w:hAnsi="Times New Roman" w:cs="Times New Roman"/>
        </w:rPr>
        <w:t>The committee reviews the applicant's academic works and teaching performance. If a majority of the attending members find the applicant's teaching performance below the minimum standard, the application will not be considered further.</w:t>
      </w:r>
    </w:p>
    <w:p w14:paraId="5FAC9749" w14:textId="77777777" w:rsidR="00352ADB" w:rsidRPr="00AD1B12" w:rsidRDefault="00352ADB" w:rsidP="00352ADB">
      <w:pPr>
        <w:numPr>
          <w:ilvl w:val="1"/>
          <w:numId w:val="7"/>
        </w:numPr>
        <w:spacing w:before="100" w:beforeAutospacing="1" w:after="100" w:afterAutospacing="1"/>
        <w:rPr>
          <w:rFonts w:ascii="Times New Roman" w:hAnsi="Times New Roman" w:cs="Times New Roman"/>
        </w:rPr>
      </w:pPr>
      <w:r w:rsidRPr="00AD1B12">
        <w:rPr>
          <w:rFonts w:ascii="Times New Roman" w:hAnsi="Times New Roman" w:cs="Times New Roman"/>
        </w:rPr>
        <w:t>A vote will decide whether the applicant's academic works are forwarded for external review by the College of Engineering. If approved, the committee submits the list of recommended external reviewers to the College. External review results will be used as a reference in Phase 2 of the departmental evaluation.</w:t>
      </w:r>
    </w:p>
    <w:p w14:paraId="7B34C1D4" w14:textId="12280AF0" w:rsidR="00352ADB" w:rsidRPr="00AD1B12" w:rsidRDefault="00352ADB" w:rsidP="00AD1B12">
      <w:pPr>
        <w:pStyle w:val="Web"/>
        <w:rPr>
          <w:rFonts w:ascii="Times New Roman" w:hAnsi="Times New Roman" w:cs="Times New Roman"/>
        </w:rPr>
      </w:pPr>
      <w:r w:rsidRPr="00AD1B12">
        <w:rPr>
          <w:rStyle w:val="a3"/>
          <w:rFonts w:ascii="Times New Roman" w:hAnsi="Times New Roman" w:cs="Times New Roman"/>
          <w:b w:val="0"/>
          <w:bCs w:val="0"/>
        </w:rPr>
        <w:lastRenderedPageBreak/>
        <w:t>Phase 2:</w:t>
      </w:r>
      <w:r w:rsidRPr="00AD1B12">
        <w:rPr>
          <w:rStyle w:val="a3"/>
          <w:rFonts w:ascii="Times New Roman" w:hAnsi="Times New Roman" w:cs="Times New Roman"/>
          <w:b w:val="0"/>
          <w:bCs w:val="0"/>
        </w:rPr>
        <w:t xml:space="preserve"> </w:t>
      </w:r>
    </w:p>
    <w:p w14:paraId="31FCDAF3" w14:textId="77777777" w:rsidR="00352ADB" w:rsidRPr="00AD1B12" w:rsidRDefault="00352ADB" w:rsidP="00352ADB">
      <w:pPr>
        <w:numPr>
          <w:ilvl w:val="1"/>
          <w:numId w:val="7"/>
        </w:numPr>
        <w:spacing w:before="100" w:beforeAutospacing="1" w:after="100" w:afterAutospacing="1"/>
        <w:rPr>
          <w:rFonts w:ascii="Times New Roman" w:hAnsi="Times New Roman" w:cs="Times New Roman"/>
        </w:rPr>
      </w:pPr>
      <w:r w:rsidRPr="00AD1B12">
        <w:rPr>
          <w:rFonts w:ascii="Times New Roman" w:hAnsi="Times New Roman" w:cs="Times New Roman"/>
        </w:rPr>
        <w:t>The applicant is invited to present their research (15-minute presentation, followed by a 10-minute Q&amp;A) before the review meeting.</w:t>
      </w:r>
    </w:p>
    <w:p w14:paraId="4C687CB6" w14:textId="77777777" w:rsidR="00352ADB" w:rsidRPr="00AD1B12" w:rsidRDefault="00352ADB" w:rsidP="00352ADB">
      <w:pPr>
        <w:numPr>
          <w:ilvl w:val="1"/>
          <w:numId w:val="7"/>
        </w:numPr>
        <w:spacing w:before="100" w:beforeAutospacing="1" w:after="100" w:afterAutospacing="1"/>
        <w:rPr>
          <w:rFonts w:ascii="Times New Roman" w:hAnsi="Times New Roman" w:cs="Times New Roman"/>
        </w:rPr>
      </w:pPr>
      <w:r w:rsidRPr="00AD1B12">
        <w:rPr>
          <w:rFonts w:ascii="Times New Roman" w:hAnsi="Times New Roman" w:cs="Times New Roman"/>
        </w:rPr>
        <w:t>The committee evaluates the applicant's materials, research presentation, Q&amp;A session, and external review results, assigning scores based on the following weightings: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517"/>
        <w:gridCol w:w="2693"/>
      </w:tblGrid>
      <w:tr w:rsidR="004C7D4A" w:rsidRPr="00AD1B12" w14:paraId="2A15F972" w14:textId="77777777" w:rsidTr="00352ADB">
        <w:tc>
          <w:tcPr>
            <w:tcW w:w="2160" w:type="dxa"/>
            <w:shd w:val="clear" w:color="auto" w:fill="C0C0C0"/>
          </w:tcPr>
          <w:p w14:paraId="4E8FD542" w14:textId="2847622E" w:rsidR="004C7D4A" w:rsidRPr="00AD1B12" w:rsidRDefault="00352ADB" w:rsidP="00687E9E">
            <w:pPr>
              <w:adjustRightInd w:val="0"/>
              <w:snapToGrid w:val="0"/>
              <w:jc w:val="center"/>
              <w:textAlignment w:val="baseline"/>
              <w:rPr>
                <w:rFonts w:ascii="Times New Roman" w:eastAsia="標楷體" w:hAnsi="Times New Roman" w:cs="Times New Roman"/>
                <w:color w:val="000000"/>
              </w:rPr>
            </w:pPr>
            <w:r w:rsidRPr="00AD1B12">
              <w:rPr>
                <w:rFonts w:ascii="Times New Roman" w:eastAsia="標楷體" w:hAnsi="Times New Roman" w:cs="Times New Roman"/>
                <w:color w:val="000000"/>
                <w:spacing w:val="9"/>
                <w:w w:val="88"/>
                <w:fitText w:val="840" w:id="-1715299840"/>
              </w:rPr>
              <w:t>Categor</w:t>
            </w:r>
            <w:r w:rsidRPr="00AD1B12">
              <w:rPr>
                <w:rFonts w:ascii="Times New Roman" w:eastAsia="標楷體" w:hAnsi="Times New Roman" w:cs="Times New Roman"/>
                <w:color w:val="000000"/>
                <w:spacing w:val="4"/>
                <w:w w:val="88"/>
                <w:fitText w:val="840" w:id="-1715299840"/>
              </w:rPr>
              <w:t>y</w:t>
            </w:r>
          </w:p>
        </w:tc>
        <w:tc>
          <w:tcPr>
            <w:tcW w:w="3517" w:type="dxa"/>
            <w:shd w:val="clear" w:color="auto" w:fill="C0C0C0"/>
            <w:vAlign w:val="center"/>
          </w:tcPr>
          <w:p w14:paraId="7EF53118" w14:textId="02993030" w:rsidR="004C7D4A" w:rsidRPr="00AD1B12" w:rsidRDefault="00352ADB" w:rsidP="00687E9E">
            <w:pPr>
              <w:adjustRightInd w:val="0"/>
              <w:snapToGrid w:val="0"/>
              <w:jc w:val="center"/>
              <w:textAlignment w:val="baseline"/>
              <w:rPr>
                <w:rFonts w:ascii="Times New Roman" w:eastAsia="標楷體" w:hAnsi="Times New Roman" w:cs="Times New Roman"/>
                <w:color w:val="000000"/>
                <w:highlight w:val="black"/>
              </w:rPr>
            </w:pPr>
            <w:r w:rsidRPr="00AD1B12">
              <w:rPr>
                <w:rFonts w:ascii="Times New Roman" w:eastAsia="標楷體" w:hAnsi="Times New Roman" w:cs="Times New Roman"/>
                <w:color w:val="000000"/>
              </w:rPr>
              <w:t>Assistant → Associate Professor</w:t>
            </w:r>
          </w:p>
        </w:tc>
        <w:tc>
          <w:tcPr>
            <w:tcW w:w="2693" w:type="dxa"/>
            <w:shd w:val="clear" w:color="auto" w:fill="C0C0C0"/>
            <w:vAlign w:val="center"/>
          </w:tcPr>
          <w:p w14:paraId="1F696A0B" w14:textId="3D8A3817" w:rsidR="004C7D4A" w:rsidRPr="00AD1B12" w:rsidRDefault="00352ADB" w:rsidP="00687E9E">
            <w:pPr>
              <w:adjustRightInd w:val="0"/>
              <w:snapToGrid w:val="0"/>
              <w:jc w:val="center"/>
              <w:textAlignment w:val="baseline"/>
              <w:rPr>
                <w:rFonts w:ascii="Times New Roman" w:eastAsia="標楷體" w:hAnsi="Times New Roman" w:cs="Times New Roman"/>
                <w:color w:val="000000"/>
              </w:rPr>
            </w:pPr>
            <w:r w:rsidRPr="00AD1B12">
              <w:rPr>
                <w:rFonts w:ascii="Times New Roman" w:eastAsia="標楷體" w:hAnsi="Times New Roman" w:cs="Times New Roman"/>
                <w:color w:val="000000"/>
              </w:rPr>
              <w:t>Associate → Professor</w:t>
            </w:r>
          </w:p>
        </w:tc>
      </w:tr>
      <w:tr w:rsidR="004C7D4A" w:rsidRPr="00AD1B12" w14:paraId="266AAF15" w14:textId="77777777" w:rsidTr="00352ADB">
        <w:tc>
          <w:tcPr>
            <w:tcW w:w="2160" w:type="dxa"/>
          </w:tcPr>
          <w:p w14:paraId="280F4EE6" w14:textId="10B7099F" w:rsidR="004C7D4A" w:rsidRPr="00AD1B12" w:rsidRDefault="00352ADB" w:rsidP="00687E9E">
            <w:pPr>
              <w:adjustRightInd w:val="0"/>
              <w:snapToGrid w:val="0"/>
              <w:jc w:val="center"/>
              <w:textAlignment w:val="baseline"/>
              <w:rPr>
                <w:rFonts w:ascii="Times New Roman" w:eastAsia="標楷體" w:hAnsi="Times New Roman" w:cs="Times New Roman"/>
                <w:color w:val="000000"/>
              </w:rPr>
            </w:pPr>
            <w:r w:rsidRPr="00AD1B12">
              <w:rPr>
                <w:rFonts w:ascii="Times New Roman" w:eastAsia="標楷體" w:hAnsi="Times New Roman" w:cs="Times New Roman"/>
                <w:color w:val="000000"/>
                <w:spacing w:val="7"/>
                <w:w w:val="88"/>
                <w:fitText w:val="840" w:id="-1715299839"/>
              </w:rPr>
              <w:t>Teachin</w:t>
            </w:r>
            <w:r w:rsidRPr="00AD1B12">
              <w:rPr>
                <w:rFonts w:ascii="Times New Roman" w:eastAsia="標楷體" w:hAnsi="Times New Roman" w:cs="Times New Roman"/>
                <w:color w:val="000000"/>
                <w:spacing w:val="6"/>
                <w:w w:val="88"/>
                <w:fitText w:val="840" w:id="-1715299839"/>
              </w:rPr>
              <w:t>g</w:t>
            </w:r>
          </w:p>
        </w:tc>
        <w:tc>
          <w:tcPr>
            <w:tcW w:w="3517" w:type="dxa"/>
            <w:vAlign w:val="center"/>
          </w:tcPr>
          <w:p w14:paraId="6E52A824" w14:textId="77777777" w:rsidR="004C7D4A" w:rsidRPr="00AD1B12" w:rsidRDefault="004C7D4A" w:rsidP="00687E9E">
            <w:pPr>
              <w:adjustRightInd w:val="0"/>
              <w:snapToGrid w:val="0"/>
              <w:jc w:val="center"/>
              <w:textAlignment w:val="baseline"/>
              <w:rPr>
                <w:rFonts w:ascii="Times New Roman" w:eastAsia="標楷體" w:hAnsi="Times New Roman" w:cs="Times New Roman"/>
                <w:color w:val="000000"/>
                <w:highlight w:val="black"/>
              </w:rPr>
            </w:pPr>
            <w:r w:rsidRPr="00AD1B12">
              <w:rPr>
                <w:rFonts w:ascii="Times New Roman" w:eastAsia="標楷體" w:hAnsi="Times New Roman" w:cs="Times New Roman"/>
                <w:color w:val="000000"/>
              </w:rPr>
              <w:t>３０％</w:t>
            </w:r>
          </w:p>
        </w:tc>
        <w:tc>
          <w:tcPr>
            <w:tcW w:w="2693" w:type="dxa"/>
            <w:vAlign w:val="center"/>
          </w:tcPr>
          <w:p w14:paraId="74095E11" w14:textId="77777777" w:rsidR="004C7D4A" w:rsidRPr="00AD1B12" w:rsidRDefault="004C7D4A" w:rsidP="00687E9E">
            <w:pPr>
              <w:adjustRightInd w:val="0"/>
              <w:snapToGrid w:val="0"/>
              <w:jc w:val="center"/>
              <w:textAlignment w:val="baseline"/>
              <w:rPr>
                <w:rFonts w:ascii="Times New Roman" w:eastAsia="標楷體" w:hAnsi="Times New Roman" w:cs="Times New Roman"/>
                <w:color w:val="000000"/>
              </w:rPr>
            </w:pPr>
            <w:r w:rsidRPr="00AD1B12">
              <w:rPr>
                <w:rFonts w:ascii="Times New Roman" w:eastAsia="標楷體" w:hAnsi="Times New Roman" w:cs="Times New Roman"/>
                <w:color w:val="000000"/>
              </w:rPr>
              <w:t>３０％</w:t>
            </w:r>
          </w:p>
        </w:tc>
      </w:tr>
      <w:tr w:rsidR="004C7D4A" w:rsidRPr="00AD1B12" w14:paraId="5F7C42DB" w14:textId="77777777" w:rsidTr="00352ADB">
        <w:tc>
          <w:tcPr>
            <w:tcW w:w="2160" w:type="dxa"/>
          </w:tcPr>
          <w:p w14:paraId="65CB8AAC" w14:textId="2A122507" w:rsidR="004C7D4A" w:rsidRPr="00AD1B12" w:rsidRDefault="00352ADB" w:rsidP="00687E9E">
            <w:pPr>
              <w:adjustRightInd w:val="0"/>
              <w:snapToGrid w:val="0"/>
              <w:jc w:val="center"/>
              <w:textAlignment w:val="baseline"/>
              <w:rPr>
                <w:rFonts w:ascii="Times New Roman" w:eastAsia="標楷體" w:hAnsi="Times New Roman" w:cs="Times New Roman"/>
                <w:color w:val="000000"/>
              </w:rPr>
            </w:pPr>
            <w:r w:rsidRPr="00AD1B12">
              <w:rPr>
                <w:rFonts w:ascii="Times New Roman" w:eastAsia="標楷體" w:hAnsi="Times New Roman" w:cs="Times New Roman"/>
                <w:color w:val="000000"/>
                <w:spacing w:val="20"/>
                <w:fitText w:val="840" w:id="-1715299838"/>
              </w:rPr>
              <w:t>Servic</w:t>
            </w:r>
            <w:r w:rsidRPr="00AD1B12">
              <w:rPr>
                <w:rFonts w:ascii="Times New Roman" w:eastAsia="標楷體" w:hAnsi="Times New Roman" w:cs="Times New Roman"/>
                <w:color w:val="000000"/>
                <w:spacing w:val="1"/>
                <w:fitText w:val="840" w:id="-1715299838"/>
              </w:rPr>
              <w:t>e</w:t>
            </w:r>
          </w:p>
        </w:tc>
        <w:tc>
          <w:tcPr>
            <w:tcW w:w="3517" w:type="dxa"/>
            <w:vAlign w:val="center"/>
          </w:tcPr>
          <w:p w14:paraId="4C93E4B7" w14:textId="77777777" w:rsidR="004C7D4A" w:rsidRPr="00AD1B12" w:rsidRDefault="004C7D4A" w:rsidP="00687E9E">
            <w:pPr>
              <w:adjustRightInd w:val="0"/>
              <w:snapToGrid w:val="0"/>
              <w:jc w:val="center"/>
              <w:textAlignment w:val="baseline"/>
              <w:rPr>
                <w:rFonts w:ascii="Times New Roman" w:eastAsia="標楷體" w:hAnsi="Times New Roman" w:cs="Times New Roman"/>
                <w:color w:val="000000"/>
                <w:highlight w:val="black"/>
              </w:rPr>
            </w:pPr>
            <w:r w:rsidRPr="00AD1B12">
              <w:rPr>
                <w:rFonts w:ascii="Times New Roman" w:eastAsia="標楷體" w:hAnsi="Times New Roman" w:cs="Times New Roman"/>
                <w:color w:val="000000"/>
              </w:rPr>
              <w:t>２５％</w:t>
            </w:r>
          </w:p>
        </w:tc>
        <w:tc>
          <w:tcPr>
            <w:tcW w:w="2693" w:type="dxa"/>
            <w:vAlign w:val="center"/>
          </w:tcPr>
          <w:p w14:paraId="60BA2076" w14:textId="77777777" w:rsidR="004C7D4A" w:rsidRPr="00AD1B12" w:rsidRDefault="004C7D4A" w:rsidP="00687E9E">
            <w:pPr>
              <w:adjustRightInd w:val="0"/>
              <w:snapToGrid w:val="0"/>
              <w:jc w:val="center"/>
              <w:textAlignment w:val="baseline"/>
              <w:rPr>
                <w:rFonts w:ascii="Times New Roman" w:eastAsia="標楷體" w:hAnsi="Times New Roman" w:cs="Times New Roman"/>
                <w:color w:val="000000"/>
              </w:rPr>
            </w:pPr>
            <w:r w:rsidRPr="00AD1B12">
              <w:rPr>
                <w:rFonts w:ascii="Times New Roman" w:eastAsia="標楷體" w:hAnsi="Times New Roman" w:cs="Times New Roman"/>
                <w:color w:val="000000"/>
              </w:rPr>
              <w:t>２０％</w:t>
            </w:r>
          </w:p>
        </w:tc>
      </w:tr>
      <w:tr w:rsidR="004C7D4A" w:rsidRPr="00AD1B12" w14:paraId="44A1C6EB" w14:textId="77777777" w:rsidTr="00352ADB">
        <w:tc>
          <w:tcPr>
            <w:tcW w:w="21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4"/>
            </w:tblGrid>
            <w:tr w:rsidR="00352ADB" w:rsidRPr="00AD1B12" w14:paraId="7C51BAF9" w14:textId="77777777" w:rsidTr="00352ADB">
              <w:trPr>
                <w:tblCellSpacing w:w="15" w:type="dxa"/>
              </w:trPr>
              <w:tc>
                <w:tcPr>
                  <w:tcW w:w="0" w:type="auto"/>
                  <w:vAlign w:val="center"/>
                  <w:hideMark/>
                </w:tcPr>
                <w:p w14:paraId="36ABEA8C" w14:textId="77777777" w:rsidR="00352ADB" w:rsidRPr="00AD1B12" w:rsidRDefault="00352ADB" w:rsidP="00352ADB">
                  <w:pPr>
                    <w:rPr>
                      <w:rFonts w:ascii="Times New Roman" w:hAnsi="Times New Roman" w:cs="Times New Roman"/>
                    </w:rPr>
                  </w:pPr>
                  <w:r w:rsidRPr="00AD1B12">
                    <w:rPr>
                      <w:rFonts w:ascii="Times New Roman" w:hAnsi="Times New Roman" w:cs="Times New Roman"/>
                    </w:rPr>
                    <w:t>Research (Academic Works)</w:t>
                  </w:r>
                </w:p>
              </w:tc>
            </w:tr>
          </w:tbl>
          <w:p w14:paraId="667ED28C" w14:textId="77777777" w:rsidR="00352ADB" w:rsidRPr="00AD1B12" w:rsidRDefault="00352ADB" w:rsidP="00352ADB">
            <w:pPr>
              <w:rPr>
                <w:rFonts w:ascii="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52ADB" w:rsidRPr="00AD1B12" w14:paraId="48BF5A13" w14:textId="77777777" w:rsidTr="00352ADB">
              <w:trPr>
                <w:tblCellSpacing w:w="15" w:type="dxa"/>
              </w:trPr>
              <w:tc>
                <w:tcPr>
                  <w:tcW w:w="0" w:type="auto"/>
                  <w:vAlign w:val="center"/>
                  <w:hideMark/>
                </w:tcPr>
                <w:p w14:paraId="2A603AE0" w14:textId="77777777" w:rsidR="00352ADB" w:rsidRPr="00AD1B12" w:rsidRDefault="00352ADB" w:rsidP="00352ADB">
                  <w:pPr>
                    <w:rPr>
                      <w:rFonts w:ascii="Times New Roman" w:hAnsi="Times New Roman" w:cs="Times New Roman"/>
                    </w:rPr>
                  </w:pPr>
                </w:p>
              </w:tc>
            </w:tr>
          </w:tbl>
          <w:p w14:paraId="36677FD4" w14:textId="44F99A94" w:rsidR="004C7D4A" w:rsidRPr="00AD1B12" w:rsidRDefault="004C7D4A" w:rsidP="00687E9E">
            <w:pPr>
              <w:adjustRightInd w:val="0"/>
              <w:snapToGrid w:val="0"/>
              <w:jc w:val="center"/>
              <w:textAlignment w:val="baseline"/>
              <w:rPr>
                <w:rFonts w:ascii="Times New Roman" w:eastAsia="標楷體" w:hAnsi="Times New Roman" w:cs="Times New Roman"/>
                <w:color w:val="000000"/>
              </w:rPr>
            </w:pPr>
          </w:p>
        </w:tc>
        <w:tc>
          <w:tcPr>
            <w:tcW w:w="3517" w:type="dxa"/>
            <w:vAlign w:val="center"/>
          </w:tcPr>
          <w:p w14:paraId="3B9FC5E7" w14:textId="77777777" w:rsidR="004C7D4A" w:rsidRPr="00AD1B12" w:rsidRDefault="004C7D4A" w:rsidP="00687E9E">
            <w:pPr>
              <w:adjustRightInd w:val="0"/>
              <w:snapToGrid w:val="0"/>
              <w:jc w:val="center"/>
              <w:textAlignment w:val="baseline"/>
              <w:rPr>
                <w:rFonts w:ascii="Times New Roman" w:eastAsia="標楷體" w:hAnsi="Times New Roman" w:cs="Times New Roman"/>
                <w:color w:val="000000"/>
                <w:highlight w:val="black"/>
              </w:rPr>
            </w:pPr>
            <w:r w:rsidRPr="00AD1B12">
              <w:rPr>
                <w:rFonts w:ascii="Times New Roman" w:eastAsia="標楷體" w:hAnsi="Times New Roman" w:cs="Times New Roman"/>
                <w:color w:val="000000"/>
              </w:rPr>
              <w:t>４５％</w:t>
            </w:r>
          </w:p>
        </w:tc>
        <w:tc>
          <w:tcPr>
            <w:tcW w:w="2693" w:type="dxa"/>
            <w:vAlign w:val="center"/>
          </w:tcPr>
          <w:p w14:paraId="7B77F93E" w14:textId="77777777" w:rsidR="004C7D4A" w:rsidRPr="00AD1B12" w:rsidRDefault="004C7D4A" w:rsidP="00687E9E">
            <w:pPr>
              <w:adjustRightInd w:val="0"/>
              <w:snapToGrid w:val="0"/>
              <w:jc w:val="center"/>
              <w:textAlignment w:val="baseline"/>
              <w:rPr>
                <w:rFonts w:ascii="Times New Roman" w:eastAsia="標楷體" w:hAnsi="Times New Roman" w:cs="Times New Roman"/>
                <w:color w:val="000000"/>
              </w:rPr>
            </w:pPr>
            <w:r w:rsidRPr="00AD1B12">
              <w:rPr>
                <w:rFonts w:ascii="Times New Roman" w:eastAsia="標楷體" w:hAnsi="Times New Roman" w:cs="Times New Roman"/>
                <w:color w:val="000000"/>
              </w:rPr>
              <w:t>５０％</w:t>
            </w:r>
          </w:p>
        </w:tc>
      </w:tr>
    </w:tbl>
    <w:p w14:paraId="6CF05F2C" w14:textId="544F2CD7" w:rsidR="00352ADB" w:rsidRPr="00AD1B12" w:rsidRDefault="00352ADB" w:rsidP="00352ADB">
      <w:pPr>
        <w:snapToGrid w:val="0"/>
        <w:ind w:leftChars="469" w:left="1606" w:hangingChars="207" w:hanging="480"/>
        <w:rPr>
          <w:rFonts w:ascii="Times New Roman" w:eastAsia="標楷體" w:hAnsi="Times New Roman" w:cs="Times New Roman"/>
          <w:color w:val="000000"/>
          <w:spacing w:val="-4"/>
        </w:rPr>
      </w:pPr>
      <w:r w:rsidRPr="00AD1B12">
        <w:rPr>
          <w:rFonts w:ascii="Times New Roman" w:eastAsia="標楷體" w:hAnsi="Times New Roman" w:cs="Times New Roman"/>
          <w:color w:val="000000"/>
          <w:spacing w:val="-4"/>
        </w:rPr>
        <w:t xml:space="preserve"> Each committee member scores the applicant separately on teaching, academic works, and service/collaboration.</w:t>
      </w:r>
    </w:p>
    <w:p w14:paraId="5C8005AE" w14:textId="6380FFF2" w:rsidR="00352ADB" w:rsidRPr="00AD1B12" w:rsidRDefault="00352ADB" w:rsidP="00352ADB">
      <w:pPr>
        <w:snapToGrid w:val="0"/>
        <w:ind w:leftChars="469" w:left="1606" w:hangingChars="207" w:hanging="480"/>
        <w:rPr>
          <w:rFonts w:ascii="Times New Roman" w:eastAsia="標楷體" w:hAnsi="Times New Roman" w:cs="Times New Roman"/>
          <w:color w:val="000000"/>
          <w:spacing w:val="-4"/>
        </w:rPr>
      </w:pPr>
      <w:r w:rsidRPr="00AD1B12">
        <w:rPr>
          <w:rFonts w:ascii="Times New Roman" w:eastAsia="標楷體" w:hAnsi="Times New Roman" w:cs="Times New Roman"/>
          <w:color w:val="000000"/>
          <w:spacing w:val="-4"/>
        </w:rPr>
        <w:t>Approval Voting Threshold:</w:t>
      </w:r>
    </w:p>
    <w:p w14:paraId="3666D73A" w14:textId="77777777" w:rsidR="00352ADB" w:rsidRPr="00AD1B12" w:rsidRDefault="00352ADB" w:rsidP="00352ADB">
      <w:pPr>
        <w:snapToGrid w:val="0"/>
        <w:ind w:leftChars="469" w:left="1606" w:hangingChars="207" w:hanging="480"/>
        <w:rPr>
          <w:rFonts w:ascii="Times New Roman" w:eastAsia="標楷體" w:hAnsi="Times New Roman" w:cs="Times New Roman"/>
          <w:color w:val="000000"/>
          <w:spacing w:val="-4"/>
        </w:rPr>
      </w:pPr>
      <w:r w:rsidRPr="00AD1B12">
        <w:rPr>
          <w:rFonts w:ascii="Times New Roman" w:eastAsia="標楷體" w:hAnsi="Times New Roman" w:cs="Times New Roman"/>
          <w:color w:val="000000"/>
          <w:spacing w:val="-4"/>
        </w:rPr>
        <w:t>A score of 70 or above from a committee member is considered an affirmative vote for promotion.</w:t>
      </w:r>
    </w:p>
    <w:p w14:paraId="5CA06495" w14:textId="77777777" w:rsidR="00AD1B12" w:rsidRPr="00AD1B12" w:rsidRDefault="00AD1B12" w:rsidP="00AD1B12">
      <w:pPr>
        <w:snapToGrid w:val="0"/>
        <w:rPr>
          <w:rFonts w:ascii="Times New Roman" w:eastAsia="標楷體" w:hAnsi="Times New Roman" w:cs="Times New Roman"/>
          <w:color w:val="000000"/>
        </w:rPr>
      </w:pPr>
      <w:r w:rsidRPr="00AD1B12">
        <w:rPr>
          <w:rStyle w:val="a3"/>
          <w:rFonts w:ascii="Times New Roman" w:hAnsi="Times New Roman" w:cs="Times New Roman"/>
          <w:b w:val="0"/>
          <w:bCs w:val="0"/>
        </w:rPr>
        <w:t xml:space="preserve">Phase </w:t>
      </w:r>
      <w:r w:rsidRPr="00AD1B12">
        <w:rPr>
          <w:rStyle w:val="a3"/>
          <w:rFonts w:ascii="Times New Roman" w:hAnsi="Times New Roman" w:cs="Times New Roman"/>
          <w:b w:val="0"/>
          <w:bCs w:val="0"/>
        </w:rPr>
        <w:t xml:space="preserve">3:   </w:t>
      </w:r>
      <w:r w:rsidR="00352ADB" w:rsidRPr="00AD1B12">
        <w:rPr>
          <w:rFonts w:ascii="Times New Roman" w:eastAsia="標楷體" w:hAnsi="Times New Roman" w:cs="Times New Roman"/>
          <w:color w:val="000000"/>
        </w:rPr>
        <w:t xml:space="preserve">During the academic professional review, the committee has the authority to adjust the external </w:t>
      </w:r>
      <w:r w:rsidRPr="00AD1B12">
        <w:rPr>
          <w:rFonts w:ascii="Times New Roman" w:eastAsia="標楷體" w:hAnsi="Times New Roman" w:cs="Times New Roman"/>
          <w:color w:val="000000"/>
        </w:rPr>
        <w:t xml:space="preserve">   </w:t>
      </w:r>
    </w:p>
    <w:p w14:paraId="1A0E9962" w14:textId="5DC54E2B" w:rsidR="00AD1B12" w:rsidRPr="00AD1B12" w:rsidRDefault="00AD1B12" w:rsidP="00AD1B12">
      <w:pPr>
        <w:snapToGrid w:val="0"/>
        <w:rPr>
          <w:rFonts w:ascii="Times New Roman" w:eastAsia="標楷體" w:hAnsi="Times New Roman" w:cs="Times New Roman"/>
          <w:color w:val="000000"/>
        </w:rPr>
      </w:pPr>
      <w:r w:rsidRPr="00AD1B12">
        <w:rPr>
          <w:rFonts w:ascii="Times New Roman" w:eastAsia="標楷體" w:hAnsi="Times New Roman" w:cs="Times New Roman"/>
          <w:color w:val="000000"/>
        </w:rPr>
        <w:t xml:space="preserve">          </w:t>
      </w:r>
      <w:r w:rsidR="00352ADB" w:rsidRPr="00AD1B12">
        <w:rPr>
          <w:rFonts w:ascii="Times New Roman" w:eastAsia="標楷體" w:hAnsi="Times New Roman" w:cs="Times New Roman"/>
          <w:color w:val="000000"/>
        </w:rPr>
        <w:t xml:space="preserve">review scores for submitted works, as per regulations. Adjustments must be documented in the </w:t>
      </w:r>
      <w:r w:rsidRPr="00AD1B12">
        <w:rPr>
          <w:rFonts w:ascii="Times New Roman" w:eastAsia="標楷體" w:hAnsi="Times New Roman" w:cs="Times New Roman"/>
          <w:color w:val="000000"/>
        </w:rPr>
        <w:t xml:space="preserve">  </w:t>
      </w:r>
    </w:p>
    <w:p w14:paraId="0EB96FA5" w14:textId="30C702DB" w:rsidR="00352ADB" w:rsidRPr="00AD1B12" w:rsidRDefault="00AD1B12" w:rsidP="00AD1B12">
      <w:pPr>
        <w:snapToGrid w:val="0"/>
        <w:rPr>
          <w:rFonts w:ascii="Times New Roman" w:eastAsia="標楷體" w:hAnsi="Times New Roman" w:cs="Times New Roman"/>
          <w:color w:val="000000"/>
        </w:rPr>
      </w:pPr>
      <w:r w:rsidRPr="00AD1B12">
        <w:rPr>
          <w:rFonts w:ascii="Times New Roman" w:eastAsia="標楷體" w:hAnsi="Times New Roman" w:cs="Times New Roman"/>
          <w:color w:val="000000"/>
        </w:rPr>
        <w:t xml:space="preserve">         </w:t>
      </w:r>
      <w:r w:rsidR="00352ADB" w:rsidRPr="00AD1B12">
        <w:rPr>
          <w:rFonts w:ascii="Times New Roman" w:eastAsia="標楷體" w:hAnsi="Times New Roman" w:cs="Times New Roman"/>
          <w:color w:val="000000"/>
        </w:rPr>
        <w:t>"Detailed Academic Work Review Form."</w:t>
      </w:r>
    </w:p>
    <w:p w14:paraId="17CFC6F2" w14:textId="77777777" w:rsidR="00AD1B12" w:rsidRPr="00AD1B12" w:rsidRDefault="00AD1B12" w:rsidP="00AD1B12">
      <w:pPr>
        <w:snapToGrid w:val="0"/>
        <w:rPr>
          <w:rFonts w:ascii="Times New Roman" w:eastAsia="標楷體" w:hAnsi="Times New Roman" w:cs="Times New Roman"/>
          <w:color w:val="000000"/>
        </w:rPr>
      </w:pPr>
    </w:p>
    <w:p w14:paraId="7A00FD80" w14:textId="70E611DE" w:rsidR="00AD1B12" w:rsidRPr="00AD1B12" w:rsidRDefault="00AD1B12" w:rsidP="00AD1B12">
      <w:pPr>
        <w:snapToGrid w:val="0"/>
        <w:rPr>
          <w:rFonts w:ascii="Times New Roman" w:eastAsia="標楷體" w:hAnsi="Times New Roman" w:cs="Times New Roman"/>
          <w:color w:val="000000"/>
        </w:rPr>
      </w:pPr>
      <w:r w:rsidRPr="00AD1B12">
        <w:rPr>
          <w:rStyle w:val="a3"/>
          <w:rFonts w:ascii="Times New Roman" w:hAnsi="Times New Roman" w:cs="Times New Roman"/>
          <w:b w:val="0"/>
          <w:bCs w:val="0"/>
        </w:rPr>
        <w:t xml:space="preserve">Phase </w:t>
      </w:r>
      <w:r w:rsidRPr="00AD1B12">
        <w:rPr>
          <w:rStyle w:val="a3"/>
          <w:rFonts w:ascii="Times New Roman" w:hAnsi="Times New Roman" w:cs="Times New Roman"/>
          <w:b w:val="0"/>
          <w:bCs w:val="0"/>
        </w:rPr>
        <w:t xml:space="preserve">4:  </w:t>
      </w:r>
      <w:r w:rsidR="00352ADB" w:rsidRPr="00AD1B12">
        <w:rPr>
          <w:rFonts w:ascii="Times New Roman" w:eastAsia="標楷體" w:hAnsi="Times New Roman" w:cs="Times New Roman"/>
          <w:color w:val="000000"/>
        </w:rPr>
        <w:t>For promotion to be approved, the applicant must receive affirmative votes from at least two-</w:t>
      </w:r>
    </w:p>
    <w:p w14:paraId="5053784C" w14:textId="098CD4A6" w:rsidR="00352ADB" w:rsidRPr="00AD1B12" w:rsidRDefault="00AD1B12" w:rsidP="00AD1B12">
      <w:pPr>
        <w:snapToGrid w:val="0"/>
        <w:rPr>
          <w:rFonts w:ascii="Times New Roman" w:hAnsi="Times New Roman" w:cs="Times New Roman"/>
        </w:rPr>
      </w:pPr>
      <w:r w:rsidRPr="00AD1B12">
        <w:rPr>
          <w:rFonts w:ascii="Times New Roman" w:eastAsia="標楷體" w:hAnsi="Times New Roman" w:cs="Times New Roman"/>
          <w:color w:val="000000"/>
        </w:rPr>
        <w:t xml:space="preserve">         </w:t>
      </w:r>
      <w:r w:rsidR="00352ADB" w:rsidRPr="00AD1B12">
        <w:rPr>
          <w:rFonts w:ascii="Times New Roman" w:eastAsia="標楷體" w:hAnsi="Times New Roman" w:cs="Times New Roman"/>
          <w:color w:val="000000"/>
        </w:rPr>
        <w:t>thirds of the attending committee members.</w:t>
      </w:r>
    </w:p>
    <w:p w14:paraId="4391A02B" w14:textId="77777777" w:rsidR="00352ADB" w:rsidRPr="00AD1B12" w:rsidRDefault="00352ADB" w:rsidP="00352ADB">
      <w:pPr>
        <w:snapToGrid w:val="0"/>
        <w:ind w:leftChars="469" w:left="1623" w:hangingChars="207" w:hanging="497"/>
        <w:rPr>
          <w:rFonts w:ascii="Times New Roman" w:eastAsia="標楷體" w:hAnsi="Times New Roman" w:cs="Times New Roman"/>
          <w:color w:val="000000"/>
        </w:rPr>
      </w:pPr>
    </w:p>
    <w:p w14:paraId="063D3AF8" w14:textId="77777777" w:rsidR="00AD1B12" w:rsidRPr="00AD1B12" w:rsidRDefault="00AD1B12" w:rsidP="00AD1B12">
      <w:pPr>
        <w:snapToGrid w:val="0"/>
        <w:rPr>
          <w:rFonts w:ascii="Times New Roman" w:eastAsia="標楷體" w:hAnsi="Times New Roman" w:cs="Times New Roman"/>
          <w:color w:val="000000"/>
        </w:rPr>
      </w:pPr>
    </w:p>
    <w:p w14:paraId="575C0719" w14:textId="692CA5EB" w:rsidR="00AD1B12" w:rsidRPr="00AD1B12" w:rsidRDefault="00AD1B12" w:rsidP="00AD1B12">
      <w:pPr>
        <w:snapToGrid w:val="0"/>
        <w:rPr>
          <w:rFonts w:ascii="Times New Roman" w:eastAsia="標楷體" w:hAnsi="Times New Roman" w:cs="Times New Roman"/>
          <w:color w:val="000000"/>
        </w:rPr>
      </w:pPr>
      <w:r w:rsidRPr="00AD1B12">
        <w:rPr>
          <w:rStyle w:val="a3"/>
          <w:rFonts w:ascii="Times New Roman" w:hAnsi="Times New Roman" w:cs="Times New Roman"/>
          <w:b w:val="0"/>
          <w:bCs w:val="0"/>
        </w:rPr>
        <w:t xml:space="preserve">Phase </w:t>
      </w:r>
      <w:r w:rsidRPr="00AD1B12">
        <w:rPr>
          <w:rStyle w:val="a3"/>
          <w:rFonts w:ascii="Times New Roman" w:hAnsi="Times New Roman" w:cs="Times New Roman"/>
          <w:b w:val="0"/>
          <w:bCs w:val="0"/>
        </w:rPr>
        <w:t xml:space="preserve">5:  </w:t>
      </w:r>
      <w:r w:rsidR="00352ADB" w:rsidRPr="00AD1B12">
        <w:rPr>
          <w:rFonts w:ascii="Times New Roman" w:eastAsia="標楷體" w:hAnsi="Times New Roman" w:cs="Times New Roman"/>
          <w:color w:val="000000"/>
        </w:rPr>
        <w:t xml:space="preserve">The number of approved promotions cannot exceed the quota set for the department in the given </w:t>
      </w:r>
      <w:r w:rsidRPr="00AD1B12">
        <w:rPr>
          <w:rFonts w:ascii="Times New Roman" w:eastAsia="標楷體" w:hAnsi="Times New Roman" w:cs="Times New Roman"/>
          <w:color w:val="000000"/>
        </w:rPr>
        <w:t xml:space="preserve"> </w:t>
      </w:r>
    </w:p>
    <w:p w14:paraId="235C8CD2" w14:textId="48BCAA04" w:rsidR="00AD1B12" w:rsidRPr="00AD1B12" w:rsidRDefault="00AD1B12" w:rsidP="00AD1B12">
      <w:pPr>
        <w:snapToGrid w:val="0"/>
        <w:rPr>
          <w:rFonts w:ascii="Times New Roman" w:eastAsia="標楷體" w:hAnsi="Times New Roman" w:cs="Times New Roman"/>
          <w:color w:val="000000"/>
        </w:rPr>
      </w:pPr>
      <w:r w:rsidRPr="00AD1B12">
        <w:rPr>
          <w:rFonts w:ascii="Times New Roman" w:eastAsia="標楷體" w:hAnsi="Times New Roman" w:cs="Times New Roman"/>
          <w:color w:val="000000"/>
        </w:rPr>
        <w:t xml:space="preserve">         </w:t>
      </w:r>
      <w:r w:rsidR="00352ADB" w:rsidRPr="00AD1B12">
        <w:rPr>
          <w:rFonts w:ascii="Times New Roman" w:eastAsia="標楷體" w:hAnsi="Times New Roman" w:cs="Times New Roman"/>
          <w:color w:val="000000"/>
        </w:rPr>
        <w:t xml:space="preserve">academic </w:t>
      </w:r>
      <w:proofErr w:type="spellStart"/>
      <w:proofErr w:type="gramStart"/>
      <w:r w:rsidR="00352ADB" w:rsidRPr="00AD1B12">
        <w:rPr>
          <w:rFonts w:ascii="Times New Roman" w:eastAsia="標楷體" w:hAnsi="Times New Roman" w:cs="Times New Roman"/>
          <w:color w:val="000000"/>
        </w:rPr>
        <w:t>year.If</w:t>
      </w:r>
      <w:proofErr w:type="spellEnd"/>
      <w:proofErr w:type="gramEnd"/>
      <w:r w:rsidR="00352ADB" w:rsidRPr="00AD1B12">
        <w:rPr>
          <w:rFonts w:ascii="Times New Roman" w:eastAsia="標楷體" w:hAnsi="Times New Roman" w:cs="Times New Roman"/>
          <w:color w:val="000000"/>
        </w:rPr>
        <w:t xml:space="preserve"> the number of qualified applicants exceeds the quota, the applicants will be </w:t>
      </w:r>
    </w:p>
    <w:p w14:paraId="4F34C9B0" w14:textId="220C30E6" w:rsidR="00352ADB" w:rsidRPr="00AD1B12" w:rsidRDefault="00AD1B12" w:rsidP="00AD1B12">
      <w:pPr>
        <w:snapToGrid w:val="0"/>
        <w:rPr>
          <w:rFonts w:ascii="Times New Roman" w:eastAsia="標楷體" w:hAnsi="Times New Roman" w:cs="Times New Roman"/>
          <w:color w:val="000000"/>
        </w:rPr>
      </w:pPr>
      <w:r w:rsidRPr="00AD1B12">
        <w:rPr>
          <w:rFonts w:ascii="Times New Roman" w:eastAsia="標楷體" w:hAnsi="Times New Roman" w:cs="Times New Roman"/>
          <w:color w:val="000000"/>
        </w:rPr>
        <w:t xml:space="preserve">         </w:t>
      </w:r>
      <w:r w:rsidR="00352ADB" w:rsidRPr="00AD1B12">
        <w:rPr>
          <w:rFonts w:ascii="Times New Roman" w:eastAsia="標楷體" w:hAnsi="Times New Roman" w:cs="Times New Roman"/>
          <w:color w:val="000000"/>
        </w:rPr>
        <w:t>ranked based on their total affirmative votes, and only those within the quota will be promoted.</w:t>
      </w:r>
    </w:p>
    <w:p w14:paraId="0BA1A26C" w14:textId="77777777" w:rsidR="00AD1B12" w:rsidRPr="00AD1B12" w:rsidRDefault="00AD1B12" w:rsidP="00352ADB">
      <w:pPr>
        <w:snapToGrid w:val="0"/>
        <w:rPr>
          <w:rStyle w:val="a3"/>
          <w:rFonts w:ascii="Times New Roman" w:hAnsi="Times New Roman" w:cs="Times New Roman"/>
          <w:b w:val="0"/>
          <w:bCs w:val="0"/>
        </w:rPr>
      </w:pPr>
    </w:p>
    <w:p w14:paraId="0F363326" w14:textId="716004B6" w:rsidR="004C7D4A" w:rsidRPr="00AD1B12" w:rsidRDefault="00352ADB" w:rsidP="00352ADB">
      <w:pPr>
        <w:snapToGrid w:val="0"/>
        <w:rPr>
          <w:rFonts w:ascii="Times New Roman" w:eastAsia="標楷體" w:hAnsi="Times New Roman" w:cs="Times New Roman"/>
          <w:color w:val="000000"/>
          <w:szCs w:val="20"/>
        </w:rPr>
      </w:pPr>
      <w:r w:rsidRPr="00AD1B12">
        <w:rPr>
          <w:rStyle w:val="a3"/>
          <w:rFonts w:ascii="Times New Roman" w:hAnsi="Times New Roman" w:cs="Times New Roman"/>
          <w:b w:val="0"/>
          <w:bCs w:val="0"/>
        </w:rPr>
        <w:t>Article</w:t>
      </w:r>
      <w:r w:rsidRPr="00AD1B12">
        <w:rPr>
          <w:rStyle w:val="a3"/>
          <w:rFonts w:ascii="Times New Roman" w:hAnsi="Times New Roman" w:cs="Times New Roman"/>
          <w:b w:val="0"/>
          <w:bCs w:val="0"/>
        </w:rPr>
        <w:t>5:</w:t>
      </w:r>
      <w:r w:rsidRPr="00AD1B12">
        <w:rPr>
          <w:rFonts w:ascii="Times New Roman" w:hAnsi="Times New Roman" w:cs="Times New Roman"/>
        </w:rPr>
        <w:t xml:space="preserve"> </w:t>
      </w:r>
      <w:r w:rsidRPr="00AD1B12">
        <w:rPr>
          <w:rFonts w:ascii="Times New Roman" w:eastAsia="標楷體" w:hAnsi="Times New Roman" w:cs="Times New Roman"/>
          <w:color w:val="000000"/>
          <w:szCs w:val="20"/>
        </w:rPr>
        <w:t>The Department Faculty Evaluation Committee conducts a professional review and evaluates research performance based on the external review results provided by the college. The total scores for research, teaching, service, and collaboration are used to establish a ranking of priority, which is then submitted to the College of Engineering.</w:t>
      </w:r>
    </w:p>
    <w:p w14:paraId="2F81172F" w14:textId="77777777" w:rsidR="00AD1B12" w:rsidRPr="00AD1B12" w:rsidRDefault="00AD1B12" w:rsidP="00352ADB">
      <w:pPr>
        <w:widowControl w:val="0"/>
        <w:snapToGrid w:val="0"/>
        <w:rPr>
          <w:rStyle w:val="a3"/>
          <w:rFonts w:ascii="Times New Roman" w:hAnsi="Times New Roman" w:cs="Times New Roman"/>
          <w:b w:val="0"/>
          <w:bCs w:val="0"/>
        </w:rPr>
      </w:pPr>
    </w:p>
    <w:p w14:paraId="2D54F4D3" w14:textId="50718ED3" w:rsidR="004C7D4A" w:rsidRPr="00AD1B12" w:rsidRDefault="00352ADB" w:rsidP="00352ADB">
      <w:pPr>
        <w:widowControl w:val="0"/>
        <w:snapToGrid w:val="0"/>
        <w:rPr>
          <w:rFonts w:ascii="Times New Roman" w:eastAsia="標楷體" w:hAnsi="Times New Roman" w:cs="Times New Roman"/>
          <w:color w:val="000000"/>
          <w:szCs w:val="20"/>
        </w:rPr>
      </w:pPr>
      <w:r w:rsidRPr="00AD1B12">
        <w:rPr>
          <w:rStyle w:val="a3"/>
          <w:rFonts w:ascii="Times New Roman" w:hAnsi="Times New Roman" w:cs="Times New Roman"/>
          <w:b w:val="0"/>
          <w:bCs w:val="0"/>
        </w:rPr>
        <w:t>Article</w:t>
      </w:r>
      <w:r w:rsidRPr="00AD1B12">
        <w:rPr>
          <w:rStyle w:val="a3"/>
          <w:rFonts w:ascii="Times New Roman" w:hAnsi="Times New Roman" w:cs="Times New Roman"/>
          <w:b w:val="0"/>
          <w:bCs w:val="0"/>
        </w:rPr>
        <w:t>6:</w:t>
      </w:r>
      <w:r w:rsidRPr="00AD1B12">
        <w:rPr>
          <w:rFonts w:ascii="Times New Roman" w:hAnsi="Times New Roman" w:cs="Times New Roman"/>
        </w:rPr>
        <w:t xml:space="preserve"> </w:t>
      </w:r>
      <w:r w:rsidRPr="00AD1B12">
        <w:rPr>
          <w:rFonts w:ascii="Times New Roman" w:eastAsia="標楷體" w:hAnsi="Times New Roman" w:cs="Times New Roman"/>
          <w:color w:val="000000"/>
          <w:szCs w:val="20"/>
        </w:rPr>
        <w:t>The convener of the Department Faculty Evaluation Committee is responsible for presenting the prioritized rankings during the College Faculty Evaluation Committee meeting.</w:t>
      </w:r>
      <w:r w:rsidRPr="00AD1B12">
        <w:rPr>
          <w:rFonts w:ascii="Times New Roman" w:eastAsia="標楷體" w:hAnsi="Times New Roman" w:cs="Times New Roman"/>
          <w:color w:val="000000"/>
          <w:szCs w:val="20"/>
        </w:rPr>
        <w:t xml:space="preserve"> </w:t>
      </w:r>
    </w:p>
    <w:p w14:paraId="27C5EF1F" w14:textId="77777777" w:rsidR="00AD1B12" w:rsidRPr="00AD1B12" w:rsidRDefault="00AD1B12" w:rsidP="00352ADB">
      <w:pPr>
        <w:widowControl w:val="0"/>
        <w:snapToGrid w:val="0"/>
        <w:rPr>
          <w:rStyle w:val="a3"/>
          <w:rFonts w:ascii="Times New Roman" w:hAnsi="Times New Roman" w:cs="Times New Roman"/>
          <w:b w:val="0"/>
          <w:bCs w:val="0"/>
        </w:rPr>
      </w:pPr>
    </w:p>
    <w:p w14:paraId="6D0660F0" w14:textId="06633A73" w:rsidR="00397157" w:rsidRPr="00AD1B12" w:rsidRDefault="00352ADB" w:rsidP="00352ADB">
      <w:pPr>
        <w:widowControl w:val="0"/>
        <w:snapToGrid w:val="0"/>
        <w:rPr>
          <w:rFonts w:ascii="Times New Roman" w:hAnsi="Times New Roman" w:cs="Times New Roman"/>
        </w:rPr>
      </w:pPr>
      <w:r w:rsidRPr="00AD1B12">
        <w:rPr>
          <w:rStyle w:val="a3"/>
          <w:rFonts w:ascii="Times New Roman" w:hAnsi="Times New Roman" w:cs="Times New Roman"/>
          <w:b w:val="0"/>
          <w:bCs w:val="0"/>
        </w:rPr>
        <w:t>Article</w:t>
      </w:r>
      <w:r w:rsidRPr="00AD1B12">
        <w:rPr>
          <w:rStyle w:val="a3"/>
          <w:rFonts w:ascii="Times New Roman" w:hAnsi="Times New Roman" w:cs="Times New Roman"/>
          <w:b w:val="0"/>
          <w:bCs w:val="0"/>
        </w:rPr>
        <w:t>7:</w:t>
      </w:r>
      <w:r w:rsidRPr="00AD1B12">
        <w:rPr>
          <w:rFonts w:ascii="Times New Roman" w:hAnsi="Times New Roman" w:cs="Times New Roman"/>
        </w:rPr>
        <w:t xml:space="preserve"> </w:t>
      </w:r>
      <w:r w:rsidRPr="00AD1B12">
        <w:rPr>
          <w:rFonts w:ascii="Times New Roman" w:eastAsia="標楷體" w:hAnsi="Times New Roman" w:cs="Times New Roman"/>
          <w:color w:val="000000"/>
          <w:szCs w:val="20"/>
        </w:rPr>
        <w:t>These regulations were approved during the departmental meeting and are implemented accordingly. Revisions to these regulations must also be approved by the departmental meeting.</w:t>
      </w:r>
    </w:p>
    <w:sectPr w:rsidR="00397157" w:rsidRPr="00AD1B12" w:rsidSect="004C7D4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234E7"/>
    <w:multiLevelType w:val="hybridMultilevel"/>
    <w:tmpl w:val="D27A3DEC"/>
    <w:lvl w:ilvl="0" w:tplc="04090015">
      <w:start w:val="1"/>
      <w:numFmt w:val="taiwaneseCountingThousand"/>
      <w:lvlText w:val="%1、"/>
      <w:lvlJc w:val="left"/>
      <w:pPr>
        <w:tabs>
          <w:tab w:val="num" w:pos="480"/>
        </w:tabs>
        <w:ind w:left="480" w:hanging="480"/>
      </w:pPr>
    </w:lvl>
    <w:lvl w:ilvl="1" w:tplc="AD423D14">
      <w:start w:val="1"/>
      <w:numFmt w:val="taiwaneseCountingThousand"/>
      <w:lvlText w:val="（%2）"/>
      <w:lvlJc w:val="left"/>
      <w:pPr>
        <w:tabs>
          <w:tab w:val="num" w:pos="1200"/>
        </w:tabs>
        <w:ind w:left="1200" w:hanging="720"/>
      </w:pPr>
      <w:rPr>
        <w:rFonts w:ascii="標楷體" w:hAnsi="標楷體" w:cs="Arial" w:hint="default"/>
        <w:color w:val="000000"/>
        <w:sz w:val="24"/>
        <w:szCs w:val="24"/>
      </w:rPr>
    </w:lvl>
    <w:lvl w:ilvl="2" w:tplc="725495D8">
      <w:start w:val="1"/>
      <w:numFmt w:val="taiwaneseCountingThousand"/>
      <w:lvlText w:val="（%3）"/>
      <w:lvlJc w:val="left"/>
      <w:pPr>
        <w:tabs>
          <w:tab w:val="num" w:pos="1680"/>
        </w:tabs>
        <w:ind w:left="1680" w:hanging="720"/>
      </w:pPr>
      <w:rPr>
        <w:rFonts w:ascii="標楷體" w:hAnsi="標楷體" w:cs="Arial" w:hint="default"/>
        <w:color w:val="000000"/>
        <w:sz w:val="24"/>
        <w:szCs w:val="24"/>
      </w:rPr>
    </w:lvl>
    <w:lvl w:ilvl="3" w:tplc="D36EA68A">
      <w:start w:val="1"/>
      <w:numFmt w:val="taiwaneseCountingThousand"/>
      <w:lvlText w:val="（%4）"/>
      <w:lvlJc w:val="left"/>
      <w:pPr>
        <w:tabs>
          <w:tab w:val="num" w:pos="2160"/>
        </w:tabs>
        <w:ind w:left="2160" w:hanging="720"/>
      </w:pPr>
      <w:rPr>
        <w:rFonts w:ascii="標楷體" w:hAnsi="標楷體" w:cs="Arial" w:hint="default"/>
        <w:color w:val="000000"/>
        <w:sz w:val="24"/>
        <w:szCs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8F13694"/>
    <w:multiLevelType w:val="multilevel"/>
    <w:tmpl w:val="3112D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F5781C"/>
    <w:multiLevelType w:val="singleLevel"/>
    <w:tmpl w:val="04090015"/>
    <w:lvl w:ilvl="0">
      <w:start w:val="1"/>
      <w:numFmt w:val="taiwaneseCountingThousand"/>
      <w:lvlText w:val="%1、"/>
      <w:lvlJc w:val="left"/>
      <w:pPr>
        <w:tabs>
          <w:tab w:val="num" w:pos="760"/>
        </w:tabs>
        <w:ind w:left="760" w:hanging="480"/>
      </w:pPr>
      <w:rPr>
        <w:rFonts w:hint="eastAsia"/>
        <w:b w:val="0"/>
        <w:i w:val="0"/>
        <w:sz w:val="24"/>
        <w:szCs w:val="24"/>
        <w:u w:val="none"/>
      </w:rPr>
    </w:lvl>
  </w:abstractNum>
  <w:abstractNum w:abstractNumId="3" w15:restartNumberingAfterBreak="0">
    <w:nsid w:val="4038720D"/>
    <w:multiLevelType w:val="hybridMultilevel"/>
    <w:tmpl w:val="8592DB42"/>
    <w:lvl w:ilvl="0" w:tplc="29DA0D42">
      <w:start w:val="1"/>
      <w:numFmt w:val="taiwaneseCountingThousand"/>
      <w:lvlText w:val="（%1）"/>
      <w:lvlJc w:val="left"/>
      <w:pPr>
        <w:tabs>
          <w:tab w:val="num" w:pos="2847"/>
        </w:tabs>
        <w:ind w:left="2847" w:hanging="720"/>
      </w:pPr>
      <w:rPr>
        <w:rFonts w:ascii="標楷體" w:hAnsi="標楷體" w:cs="Arial" w:hint="default"/>
        <w:color w:val="000000"/>
        <w:sz w:val="24"/>
        <w:szCs w:val="24"/>
      </w:rPr>
    </w:lvl>
    <w:lvl w:ilvl="1" w:tplc="04090019" w:tentative="1">
      <w:start w:val="1"/>
      <w:numFmt w:val="ideographTraditional"/>
      <w:lvlText w:val="%2、"/>
      <w:lvlJc w:val="left"/>
      <w:pPr>
        <w:tabs>
          <w:tab w:val="num" w:pos="818"/>
        </w:tabs>
        <w:ind w:left="818" w:hanging="480"/>
      </w:pPr>
    </w:lvl>
    <w:lvl w:ilvl="2" w:tplc="0409001B" w:tentative="1">
      <w:start w:val="1"/>
      <w:numFmt w:val="lowerRoman"/>
      <w:lvlText w:val="%3."/>
      <w:lvlJc w:val="right"/>
      <w:pPr>
        <w:tabs>
          <w:tab w:val="num" w:pos="1298"/>
        </w:tabs>
        <w:ind w:left="1298" w:hanging="480"/>
      </w:pPr>
    </w:lvl>
    <w:lvl w:ilvl="3" w:tplc="0409000F" w:tentative="1">
      <w:start w:val="1"/>
      <w:numFmt w:val="decimal"/>
      <w:lvlText w:val="%4."/>
      <w:lvlJc w:val="left"/>
      <w:pPr>
        <w:tabs>
          <w:tab w:val="num" w:pos="1778"/>
        </w:tabs>
        <w:ind w:left="1778" w:hanging="480"/>
      </w:pPr>
    </w:lvl>
    <w:lvl w:ilvl="4" w:tplc="04090019" w:tentative="1">
      <w:start w:val="1"/>
      <w:numFmt w:val="ideographTraditional"/>
      <w:lvlText w:val="%5、"/>
      <w:lvlJc w:val="left"/>
      <w:pPr>
        <w:tabs>
          <w:tab w:val="num" w:pos="2258"/>
        </w:tabs>
        <w:ind w:left="2258" w:hanging="480"/>
      </w:pPr>
    </w:lvl>
    <w:lvl w:ilvl="5" w:tplc="0409001B" w:tentative="1">
      <w:start w:val="1"/>
      <w:numFmt w:val="lowerRoman"/>
      <w:lvlText w:val="%6."/>
      <w:lvlJc w:val="right"/>
      <w:pPr>
        <w:tabs>
          <w:tab w:val="num" w:pos="2738"/>
        </w:tabs>
        <w:ind w:left="2738" w:hanging="480"/>
      </w:pPr>
    </w:lvl>
    <w:lvl w:ilvl="6" w:tplc="0409000F" w:tentative="1">
      <w:start w:val="1"/>
      <w:numFmt w:val="decimal"/>
      <w:lvlText w:val="%7."/>
      <w:lvlJc w:val="left"/>
      <w:pPr>
        <w:tabs>
          <w:tab w:val="num" w:pos="3218"/>
        </w:tabs>
        <w:ind w:left="3218" w:hanging="480"/>
      </w:pPr>
    </w:lvl>
    <w:lvl w:ilvl="7" w:tplc="04090019" w:tentative="1">
      <w:start w:val="1"/>
      <w:numFmt w:val="ideographTraditional"/>
      <w:lvlText w:val="%8、"/>
      <w:lvlJc w:val="left"/>
      <w:pPr>
        <w:tabs>
          <w:tab w:val="num" w:pos="3698"/>
        </w:tabs>
        <w:ind w:left="3698" w:hanging="480"/>
      </w:pPr>
    </w:lvl>
    <w:lvl w:ilvl="8" w:tplc="0409001B" w:tentative="1">
      <w:start w:val="1"/>
      <w:numFmt w:val="lowerRoman"/>
      <w:lvlText w:val="%9."/>
      <w:lvlJc w:val="right"/>
      <w:pPr>
        <w:tabs>
          <w:tab w:val="num" w:pos="4178"/>
        </w:tabs>
        <w:ind w:left="4178" w:hanging="480"/>
      </w:pPr>
    </w:lvl>
  </w:abstractNum>
  <w:abstractNum w:abstractNumId="4" w15:restartNumberingAfterBreak="0">
    <w:nsid w:val="42D0663E"/>
    <w:multiLevelType w:val="hybridMultilevel"/>
    <w:tmpl w:val="31A0143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922515F"/>
    <w:multiLevelType w:val="multilevel"/>
    <w:tmpl w:val="E6CA65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AD2481"/>
    <w:multiLevelType w:val="hybridMultilevel"/>
    <w:tmpl w:val="809C5D34"/>
    <w:lvl w:ilvl="0" w:tplc="056C834C">
      <w:start w:val="1"/>
      <w:numFmt w:val="taiwaneseCountingThousand"/>
      <w:lvlText w:val="第%1條、"/>
      <w:lvlJc w:val="left"/>
      <w:pPr>
        <w:tabs>
          <w:tab w:val="num" w:pos="1080"/>
        </w:tabs>
        <w:ind w:left="1080" w:hanging="1080"/>
      </w:pPr>
      <w:rPr>
        <w:rFonts w:hint="eastAsia"/>
      </w:rPr>
    </w:lvl>
    <w:lvl w:ilvl="1" w:tplc="7ECA774E">
      <w:start w:val="1"/>
      <w:numFmt w:val="decimal"/>
      <w:lvlText w:val="%2."/>
      <w:lvlJc w:val="left"/>
      <w:pPr>
        <w:tabs>
          <w:tab w:val="num" w:pos="840"/>
        </w:tabs>
        <w:ind w:left="840" w:hanging="360"/>
      </w:pPr>
      <w:rPr>
        <w:rFonts w:hint="default"/>
      </w:rPr>
    </w:lvl>
    <w:lvl w:ilvl="2" w:tplc="E932CEC0">
      <w:start w:val="1"/>
      <w:numFmt w:val="taiwaneseCountingThousand"/>
      <w:lvlText w:val="（%3）"/>
      <w:lvlJc w:val="left"/>
      <w:pPr>
        <w:tabs>
          <w:tab w:val="num" w:pos="1680"/>
        </w:tabs>
        <w:ind w:left="1680" w:hanging="720"/>
      </w:pPr>
      <w:rPr>
        <w:rFonts w:ascii="標楷體" w:hAnsi="標楷體" w:cs="Arial" w:hint="default"/>
        <w:color w:val="000000"/>
        <w:sz w:val="20"/>
        <w:szCs w:val="20"/>
      </w:rPr>
    </w:lvl>
    <w:lvl w:ilvl="3" w:tplc="0409000F" w:tentative="1">
      <w:start w:val="1"/>
      <w:numFmt w:val="decimal"/>
      <w:lvlText w:val="%4."/>
      <w:lvlJc w:val="left"/>
      <w:pPr>
        <w:tabs>
          <w:tab w:val="num" w:pos="1920"/>
        </w:tabs>
        <w:ind w:left="1920" w:hanging="480"/>
      </w:pPr>
    </w:lvl>
    <w:lvl w:ilvl="4" w:tplc="155843E6">
      <w:start w:val="1"/>
      <w:numFmt w:val="taiwaneseCountingThousand"/>
      <w:lvlText w:val="（%5）"/>
      <w:lvlJc w:val="left"/>
      <w:pPr>
        <w:tabs>
          <w:tab w:val="num" w:pos="2640"/>
        </w:tabs>
        <w:ind w:left="2640" w:hanging="720"/>
      </w:pPr>
      <w:rPr>
        <w:rFonts w:ascii="標楷體" w:hAnsi="標楷體" w:cs="Arial" w:hint="default"/>
        <w:color w:val="000000"/>
        <w:sz w:val="24"/>
        <w:szCs w:val="24"/>
      </w:rPr>
    </w:lvl>
    <w:lvl w:ilvl="5" w:tplc="F0209DAE">
      <w:start w:val="1"/>
      <w:numFmt w:val="taiwaneseCountingThousand"/>
      <w:lvlText w:val="（%6）"/>
      <w:lvlJc w:val="left"/>
      <w:pPr>
        <w:tabs>
          <w:tab w:val="num" w:pos="2137"/>
        </w:tabs>
        <w:ind w:left="2137" w:hanging="720"/>
      </w:pPr>
      <w:rPr>
        <w:rFonts w:ascii="標楷體" w:hAnsi="標楷體" w:cs="Arial" w:hint="default"/>
        <w:color w:val="000000"/>
        <w:sz w:val="24"/>
        <w:szCs w:val="24"/>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754202188">
    <w:abstractNumId w:val="6"/>
  </w:num>
  <w:num w:numId="2" w16cid:durableId="1084185380">
    <w:abstractNumId w:val="2"/>
  </w:num>
  <w:num w:numId="3" w16cid:durableId="925843559">
    <w:abstractNumId w:val="0"/>
  </w:num>
  <w:num w:numId="4" w16cid:durableId="765350823">
    <w:abstractNumId w:val="3"/>
  </w:num>
  <w:num w:numId="5" w16cid:durableId="2013414891">
    <w:abstractNumId w:val="4"/>
  </w:num>
  <w:num w:numId="6" w16cid:durableId="1464156235">
    <w:abstractNumId w:val="1"/>
  </w:num>
  <w:num w:numId="7" w16cid:durableId="947616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4A"/>
    <w:rsid w:val="00352ADB"/>
    <w:rsid w:val="00397157"/>
    <w:rsid w:val="00474307"/>
    <w:rsid w:val="004C7D4A"/>
    <w:rsid w:val="00AD1B12"/>
    <w:rsid w:val="00B92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1EBC"/>
  <w15:chartTrackingRefBased/>
  <w15:docId w15:val="{8F0B11A0-FA57-4AA0-98CE-6429914B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D4A"/>
    <w:rPr>
      <w:rFonts w:ascii="新細明體" w:eastAsia="新細明體" w:hAnsi="新細明體" w:cs="新細明體"/>
      <w:kern w:val="0"/>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52ADB"/>
    <w:pPr>
      <w:spacing w:before="100" w:beforeAutospacing="1" w:after="100" w:afterAutospacing="1"/>
    </w:pPr>
  </w:style>
  <w:style w:type="character" w:styleId="a3">
    <w:name w:val="Strong"/>
    <w:basedOn w:val="a0"/>
    <w:uiPriority w:val="22"/>
    <w:qFormat/>
    <w:rsid w:val="00352ADB"/>
    <w:rPr>
      <w:b/>
      <w:bCs/>
    </w:rPr>
  </w:style>
  <w:style w:type="character" w:styleId="a4">
    <w:name w:val="Emphasis"/>
    <w:basedOn w:val="a0"/>
    <w:uiPriority w:val="20"/>
    <w:qFormat/>
    <w:rsid w:val="00352A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9140">
      <w:bodyDiv w:val="1"/>
      <w:marLeft w:val="0"/>
      <w:marRight w:val="0"/>
      <w:marTop w:val="0"/>
      <w:marBottom w:val="0"/>
      <w:divBdr>
        <w:top w:val="none" w:sz="0" w:space="0" w:color="auto"/>
        <w:left w:val="none" w:sz="0" w:space="0" w:color="auto"/>
        <w:bottom w:val="none" w:sz="0" w:space="0" w:color="auto"/>
        <w:right w:val="none" w:sz="0" w:space="0" w:color="auto"/>
      </w:divBdr>
    </w:div>
    <w:div w:id="869953883">
      <w:bodyDiv w:val="1"/>
      <w:marLeft w:val="0"/>
      <w:marRight w:val="0"/>
      <w:marTop w:val="0"/>
      <w:marBottom w:val="0"/>
      <w:divBdr>
        <w:top w:val="none" w:sz="0" w:space="0" w:color="auto"/>
        <w:left w:val="none" w:sz="0" w:space="0" w:color="auto"/>
        <w:bottom w:val="none" w:sz="0" w:space="0" w:color="auto"/>
        <w:right w:val="none" w:sz="0" w:space="0" w:color="auto"/>
      </w:divBdr>
    </w:div>
    <w:div w:id="890847949">
      <w:bodyDiv w:val="1"/>
      <w:marLeft w:val="0"/>
      <w:marRight w:val="0"/>
      <w:marTop w:val="0"/>
      <w:marBottom w:val="0"/>
      <w:divBdr>
        <w:top w:val="none" w:sz="0" w:space="0" w:color="auto"/>
        <w:left w:val="none" w:sz="0" w:space="0" w:color="auto"/>
        <w:bottom w:val="none" w:sz="0" w:space="0" w:color="auto"/>
        <w:right w:val="none" w:sz="0" w:space="0" w:color="auto"/>
      </w:divBdr>
      <w:divsChild>
        <w:div w:id="1407915024">
          <w:marLeft w:val="0"/>
          <w:marRight w:val="0"/>
          <w:marTop w:val="0"/>
          <w:marBottom w:val="0"/>
          <w:divBdr>
            <w:top w:val="none" w:sz="0" w:space="0" w:color="auto"/>
            <w:left w:val="none" w:sz="0" w:space="0" w:color="auto"/>
            <w:bottom w:val="none" w:sz="0" w:space="0" w:color="auto"/>
            <w:right w:val="none" w:sz="0" w:space="0" w:color="auto"/>
          </w:divBdr>
          <w:divsChild>
            <w:div w:id="92088712">
              <w:marLeft w:val="0"/>
              <w:marRight w:val="0"/>
              <w:marTop w:val="0"/>
              <w:marBottom w:val="0"/>
              <w:divBdr>
                <w:top w:val="none" w:sz="0" w:space="0" w:color="auto"/>
                <w:left w:val="none" w:sz="0" w:space="0" w:color="auto"/>
                <w:bottom w:val="none" w:sz="0" w:space="0" w:color="auto"/>
                <w:right w:val="none" w:sz="0" w:space="0" w:color="auto"/>
              </w:divBdr>
              <w:divsChild>
                <w:div w:id="34503021">
                  <w:marLeft w:val="0"/>
                  <w:marRight w:val="0"/>
                  <w:marTop w:val="0"/>
                  <w:marBottom w:val="0"/>
                  <w:divBdr>
                    <w:top w:val="none" w:sz="0" w:space="0" w:color="auto"/>
                    <w:left w:val="none" w:sz="0" w:space="0" w:color="auto"/>
                    <w:bottom w:val="none" w:sz="0" w:space="0" w:color="auto"/>
                    <w:right w:val="none" w:sz="0" w:space="0" w:color="auto"/>
                  </w:divBdr>
                  <w:divsChild>
                    <w:div w:id="473328381">
                      <w:marLeft w:val="0"/>
                      <w:marRight w:val="0"/>
                      <w:marTop w:val="0"/>
                      <w:marBottom w:val="0"/>
                      <w:divBdr>
                        <w:top w:val="none" w:sz="0" w:space="0" w:color="auto"/>
                        <w:left w:val="none" w:sz="0" w:space="0" w:color="auto"/>
                        <w:bottom w:val="none" w:sz="0" w:space="0" w:color="auto"/>
                        <w:right w:val="none" w:sz="0" w:space="0" w:color="auto"/>
                      </w:divBdr>
                      <w:divsChild>
                        <w:div w:id="419832645">
                          <w:marLeft w:val="0"/>
                          <w:marRight w:val="0"/>
                          <w:marTop w:val="0"/>
                          <w:marBottom w:val="0"/>
                          <w:divBdr>
                            <w:top w:val="none" w:sz="0" w:space="0" w:color="auto"/>
                            <w:left w:val="none" w:sz="0" w:space="0" w:color="auto"/>
                            <w:bottom w:val="none" w:sz="0" w:space="0" w:color="auto"/>
                            <w:right w:val="none" w:sz="0" w:space="0" w:color="auto"/>
                          </w:divBdr>
                          <w:divsChild>
                            <w:div w:id="12032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1071</Words>
  <Characters>6111</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yrku</dc:creator>
  <cp:keywords/>
  <dc:description/>
  <cp:lastModifiedBy>shenshihung</cp:lastModifiedBy>
  <cp:revision>2</cp:revision>
  <dcterms:created xsi:type="dcterms:W3CDTF">2021-09-24T02:26:00Z</dcterms:created>
  <dcterms:modified xsi:type="dcterms:W3CDTF">2024-12-18T05:46:00Z</dcterms:modified>
</cp:coreProperties>
</file>