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FA26" w14:textId="5398B000" w:rsidR="006701C3" w:rsidRPr="00125887" w:rsidRDefault="00125887" w:rsidP="00125887">
      <w:pPr>
        <w:widowControl w:val="0"/>
        <w:jc w:val="center"/>
        <w:rPr>
          <w:rFonts w:ascii="Times New Roman" w:hAnsi="Times New Roman" w:cs="Times New Roman"/>
          <w:kern w:val="2"/>
        </w:rPr>
      </w:pPr>
      <w:r w:rsidRPr="00125887">
        <w:rPr>
          <w:rFonts w:ascii="Times New Roman" w:hAnsi="Times New Roman" w:cs="Times New Roman"/>
        </w:rPr>
        <w:t xml:space="preserve">National Chung </w:t>
      </w:r>
      <w:proofErr w:type="spellStart"/>
      <w:r w:rsidRPr="00125887">
        <w:rPr>
          <w:rFonts w:ascii="Times New Roman" w:hAnsi="Times New Roman" w:cs="Times New Roman"/>
        </w:rPr>
        <w:t>Hsing</w:t>
      </w:r>
      <w:proofErr w:type="spellEnd"/>
      <w:r w:rsidRPr="00125887">
        <w:rPr>
          <w:rFonts w:ascii="Times New Roman" w:hAnsi="Times New Roman" w:cs="Times New Roman"/>
        </w:rPr>
        <w:t xml:space="preserve"> University Department of Chemical Engineering Regulations for Full-Time Faculty on Applications for Sabbatical Research, Secondment, Overseas Teaching and Research, Study Leave, and Leave of Absence</w:t>
      </w:r>
    </w:p>
    <w:p w14:paraId="22604811" w14:textId="77777777" w:rsidR="006701C3" w:rsidRPr="00125887" w:rsidRDefault="006701C3" w:rsidP="006701C3">
      <w:pPr>
        <w:widowControl w:val="0"/>
        <w:ind w:left="5760" w:firstLine="480"/>
        <w:jc w:val="both"/>
        <w:rPr>
          <w:rFonts w:ascii="Times New Roman" w:eastAsia="標楷體" w:hAnsi="Times New Roman" w:cs="Times New Roman"/>
          <w:color w:val="000000"/>
          <w:kern w:val="2"/>
        </w:rPr>
      </w:pPr>
    </w:p>
    <w:p w14:paraId="74F0851D" w14:textId="77777777" w:rsidR="00125887" w:rsidRPr="00125887" w:rsidRDefault="00125887" w:rsidP="00125887">
      <w:pPr>
        <w:widowControl w:val="0"/>
        <w:ind w:left="6241"/>
        <w:jc w:val="right"/>
        <w:rPr>
          <w:rFonts w:ascii="Times New Roman" w:eastAsia="標楷體" w:hAnsi="Times New Roman" w:cs="Times New Roman"/>
          <w:color w:val="000000"/>
          <w:kern w:val="2"/>
          <w:sz w:val="16"/>
          <w:szCs w:val="16"/>
        </w:rPr>
      </w:pPr>
      <w:r w:rsidRPr="00125887">
        <w:rPr>
          <w:rFonts w:ascii="Times New Roman" w:eastAsia="標楷體" w:hAnsi="Times New Roman" w:cs="Times New Roman"/>
          <w:color w:val="000000"/>
          <w:kern w:val="2"/>
          <w:sz w:val="16"/>
          <w:szCs w:val="16"/>
        </w:rPr>
        <w:t>Approved on February 19, 2003, by the Department Affairs Meeting</w:t>
      </w:r>
    </w:p>
    <w:p w14:paraId="4A2F94E8" w14:textId="77777777" w:rsidR="00125887" w:rsidRPr="00125887" w:rsidRDefault="00125887" w:rsidP="00125887">
      <w:pPr>
        <w:widowControl w:val="0"/>
        <w:ind w:left="6241"/>
        <w:jc w:val="right"/>
        <w:rPr>
          <w:rFonts w:ascii="Times New Roman" w:eastAsia="標楷體" w:hAnsi="Times New Roman" w:cs="Times New Roman"/>
          <w:color w:val="000000"/>
          <w:kern w:val="2"/>
          <w:sz w:val="16"/>
          <w:szCs w:val="16"/>
        </w:rPr>
      </w:pPr>
      <w:r w:rsidRPr="00125887">
        <w:rPr>
          <w:rFonts w:ascii="Times New Roman" w:eastAsia="標楷體" w:hAnsi="Times New Roman" w:cs="Times New Roman"/>
          <w:color w:val="000000"/>
          <w:kern w:val="2"/>
          <w:sz w:val="16"/>
          <w:szCs w:val="16"/>
        </w:rPr>
        <w:t>Amended on May 9, 2007, by the Department Affairs Meeting</w:t>
      </w:r>
    </w:p>
    <w:p w14:paraId="1E706D5D" w14:textId="77777777" w:rsidR="00125887" w:rsidRPr="00125887" w:rsidRDefault="00125887" w:rsidP="00125887">
      <w:pPr>
        <w:widowControl w:val="0"/>
        <w:ind w:left="6241"/>
        <w:jc w:val="right"/>
        <w:rPr>
          <w:rFonts w:ascii="Times New Roman" w:eastAsia="標楷體" w:hAnsi="Times New Roman" w:cs="Times New Roman"/>
          <w:color w:val="000000"/>
          <w:kern w:val="2"/>
          <w:sz w:val="16"/>
          <w:szCs w:val="16"/>
        </w:rPr>
      </w:pPr>
      <w:r w:rsidRPr="00125887">
        <w:rPr>
          <w:rFonts w:ascii="Times New Roman" w:eastAsia="標楷體" w:hAnsi="Times New Roman" w:cs="Times New Roman"/>
          <w:color w:val="000000"/>
          <w:kern w:val="2"/>
          <w:sz w:val="16"/>
          <w:szCs w:val="16"/>
        </w:rPr>
        <w:t>Amended on November 19, 2008, by the Department Affairs Meeting</w:t>
      </w:r>
    </w:p>
    <w:p w14:paraId="5A203D89" w14:textId="77777777" w:rsidR="00125887" w:rsidRPr="00125887" w:rsidRDefault="00125887" w:rsidP="00125887">
      <w:pPr>
        <w:widowControl w:val="0"/>
        <w:ind w:left="6241"/>
        <w:jc w:val="right"/>
        <w:rPr>
          <w:rFonts w:ascii="Times New Roman" w:eastAsia="標楷體" w:hAnsi="Times New Roman" w:cs="Times New Roman"/>
          <w:color w:val="000000"/>
          <w:kern w:val="2"/>
          <w:sz w:val="16"/>
          <w:szCs w:val="16"/>
        </w:rPr>
      </w:pPr>
      <w:r w:rsidRPr="00125887">
        <w:rPr>
          <w:rFonts w:ascii="Times New Roman" w:eastAsia="標楷體" w:hAnsi="Times New Roman" w:cs="Times New Roman"/>
          <w:color w:val="000000"/>
          <w:kern w:val="2"/>
          <w:sz w:val="16"/>
          <w:szCs w:val="16"/>
        </w:rPr>
        <w:t>Amended on June 2, 2010, by the Interim Department Affairs Meeting</w:t>
      </w:r>
    </w:p>
    <w:p w14:paraId="21E585D1" w14:textId="77777777" w:rsidR="00125887" w:rsidRPr="00125887" w:rsidRDefault="00125887" w:rsidP="00125887">
      <w:pPr>
        <w:widowControl w:val="0"/>
        <w:ind w:left="6241"/>
        <w:jc w:val="right"/>
        <w:rPr>
          <w:rFonts w:ascii="Times New Roman" w:eastAsia="標楷體" w:hAnsi="Times New Roman" w:cs="Times New Roman"/>
          <w:color w:val="000000"/>
          <w:kern w:val="2"/>
          <w:sz w:val="16"/>
          <w:szCs w:val="16"/>
        </w:rPr>
      </w:pPr>
      <w:r w:rsidRPr="00125887">
        <w:rPr>
          <w:rFonts w:ascii="Times New Roman" w:eastAsia="標楷體" w:hAnsi="Times New Roman" w:cs="Times New Roman"/>
          <w:color w:val="000000"/>
          <w:kern w:val="2"/>
          <w:sz w:val="16"/>
          <w:szCs w:val="16"/>
        </w:rPr>
        <w:t>Amended on April 18, 2018, by the Department Affairs Meeting</w:t>
      </w:r>
    </w:p>
    <w:p w14:paraId="7D4B5C9E" w14:textId="77777777" w:rsidR="00125887" w:rsidRPr="00125887" w:rsidRDefault="00125887" w:rsidP="00125887">
      <w:pPr>
        <w:widowControl w:val="0"/>
        <w:ind w:left="6241"/>
        <w:jc w:val="right"/>
        <w:rPr>
          <w:rFonts w:ascii="Times New Roman" w:eastAsia="標楷體" w:hAnsi="Times New Roman" w:cs="Times New Roman"/>
          <w:color w:val="000000"/>
          <w:kern w:val="2"/>
          <w:sz w:val="16"/>
          <w:szCs w:val="16"/>
        </w:rPr>
      </w:pPr>
      <w:r w:rsidRPr="00125887">
        <w:rPr>
          <w:rFonts w:ascii="Times New Roman" w:eastAsia="標楷體" w:hAnsi="Times New Roman" w:cs="Times New Roman"/>
          <w:color w:val="000000"/>
          <w:kern w:val="2"/>
          <w:sz w:val="16"/>
          <w:szCs w:val="16"/>
        </w:rPr>
        <w:t>Amended on January 8, 2020, by the Department Affairs Meeting</w:t>
      </w:r>
    </w:p>
    <w:p w14:paraId="4F2D145B" w14:textId="77777777" w:rsidR="00125887" w:rsidRPr="00125887" w:rsidRDefault="00125887" w:rsidP="00125887">
      <w:pPr>
        <w:widowControl w:val="0"/>
        <w:ind w:left="6241"/>
        <w:jc w:val="right"/>
        <w:rPr>
          <w:rFonts w:ascii="Times New Roman" w:eastAsia="標楷體" w:hAnsi="Times New Roman" w:cs="Times New Roman"/>
          <w:color w:val="000000"/>
          <w:kern w:val="2"/>
          <w:sz w:val="16"/>
          <w:szCs w:val="16"/>
        </w:rPr>
      </w:pPr>
      <w:r w:rsidRPr="00125887">
        <w:rPr>
          <w:rFonts w:ascii="Times New Roman" w:eastAsia="標楷體" w:hAnsi="Times New Roman" w:cs="Times New Roman"/>
          <w:color w:val="000000"/>
          <w:kern w:val="2"/>
          <w:sz w:val="16"/>
          <w:szCs w:val="16"/>
        </w:rPr>
        <w:t>Amended on November 10, 2021, by the Department Affairs Meeting</w:t>
      </w:r>
    </w:p>
    <w:p w14:paraId="0F72C3C0" w14:textId="77777777" w:rsidR="00125887" w:rsidRPr="00125887" w:rsidRDefault="00125887" w:rsidP="00125887">
      <w:pPr>
        <w:widowControl w:val="0"/>
        <w:ind w:left="6241"/>
        <w:jc w:val="right"/>
        <w:rPr>
          <w:rFonts w:ascii="Times New Roman" w:eastAsia="標楷體" w:hAnsi="Times New Roman" w:cs="Times New Roman"/>
          <w:color w:val="000000"/>
          <w:kern w:val="2"/>
          <w:sz w:val="16"/>
          <w:szCs w:val="16"/>
        </w:rPr>
      </w:pPr>
      <w:r w:rsidRPr="00125887">
        <w:rPr>
          <w:rFonts w:ascii="Times New Roman" w:eastAsia="標楷體" w:hAnsi="Times New Roman" w:cs="Times New Roman"/>
          <w:color w:val="000000"/>
          <w:kern w:val="2"/>
          <w:sz w:val="16"/>
          <w:szCs w:val="16"/>
        </w:rPr>
        <w:t>Amended on April 29, 2022, by the Faculty Evaluation Committee</w:t>
      </w:r>
    </w:p>
    <w:p w14:paraId="65140A45" w14:textId="40CC4450" w:rsidR="006701C3" w:rsidRPr="00125887" w:rsidRDefault="00125887" w:rsidP="00125887">
      <w:pPr>
        <w:widowControl w:val="0"/>
        <w:ind w:left="6241"/>
        <w:jc w:val="right"/>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sz w:val="16"/>
          <w:szCs w:val="16"/>
        </w:rPr>
        <w:t>Amended on June 15, 2022, by the Department Affairs Meeting (Article 7)</w:t>
      </w:r>
    </w:p>
    <w:p w14:paraId="3A34FEA0" w14:textId="77777777" w:rsidR="00125887" w:rsidRPr="00125887" w:rsidRDefault="00125887" w:rsidP="00125887">
      <w:pPr>
        <w:spacing w:before="100" w:beforeAutospacing="1" w:after="100" w:afterAutospacing="1"/>
        <w:outlineLvl w:val="2"/>
        <w:rPr>
          <w:rFonts w:ascii="Times New Roman" w:hAnsi="Times New Roman" w:cs="Times New Roman"/>
        </w:rPr>
      </w:pPr>
      <w:r w:rsidRPr="00125887">
        <w:rPr>
          <w:rFonts w:ascii="Times New Roman" w:hAnsi="Times New Roman" w:cs="Times New Roman"/>
        </w:rPr>
        <w:t>Article 1</w:t>
      </w:r>
    </w:p>
    <w:p w14:paraId="1E1923EF" w14:textId="77777777" w:rsidR="00125887" w:rsidRPr="00125887" w:rsidRDefault="00125887" w:rsidP="00125887">
      <w:pPr>
        <w:spacing w:before="100" w:beforeAutospacing="1" w:after="100" w:afterAutospacing="1"/>
        <w:rPr>
          <w:rFonts w:ascii="Times New Roman" w:hAnsi="Times New Roman" w:cs="Times New Roman"/>
        </w:rPr>
      </w:pPr>
      <w:r w:rsidRPr="00125887">
        <w:rPr>
          <w:rFonts w:ascii="Times New Roman" w:hAnsi="Times New Roman" w:cs="Times New Roman"/>
        </w:rPr>
        <w:t xml:space="preserve">These regulations are formulated in accordance with the </w:t>
      </w:r>
      <w:r w:rsidRPr="00125887">
        <w:rPr>
          <w:rFonts w:ascii="Times New Roman" w:hAnsi="Times New Roman" w:cs="Times New Roman"/>
          <w:i/>
          <w:iCs/>
        </w:rPr>
        <w:t xml:space="preserve">National Chung </w:t>
      </w:r>
      <w:proofErr w:type="spellStart"/>
      <w:r w:rsidRPr="00125887">
        <w:rPr>
          <w:rFonts w:ascii="Times New Roman" w:hAnsi="Times New Roman" w:cs="Times New Roman"/>
          <w:i/>
          <w:iCs/>
        </w:rPr>
        <w:t>Hsing</w:t>
      </w:r>
      <w:proofErr w:type="spellEnd"/>
      <w:r w:rsidRPr="00125887">
        <w:rPr>
          <w:rFonts w:ascii="Times New Roman" w:hAnsi="Times New Roman" w:cs="Times New Roman"/>
          <w:i/>
          <w:iCs/>
        </w:rPr>
        <w:t xml:space="preserve"> University Regulations Governing Professors and Associate Professors on Sabbatical Research</w:t>
      </w:r>
      <w:r w:rsidRPr="00125887">
        <w:rPr>
          <w:rFonts w:ascii="Times New Roman" w:hAnsi="Times New Roman" w:cs="Times New Roman"/>
        </w:rPr>
        <w:t>.</w:t>
      </w:r>
    </w:p>
    <w:p w14:paraId="45843934" w14:textId="3FFECC57" w:rsidR="00125887" w:rsidRPr="00125887" w:rsidRDefault="00125887" w:rsidP="00125887">
      <w:pPr>
        <w:rPr>
          <w:rFonts w:ascii="Times New Roman" w:hAnsi="Times New Roman" w:cs="Times New Roman"/>
        </w:rPr>
      </w:pPr>
    </w:p>
    <w:p w14:paraId="7C934E43" w14:textId="77777777" w:rsidR="00125887" w:rsidRPr="00125887" w:rsidRDefault="00125887" w:rsidP="00125887">
      <w:pPr>
        <w:spacing w:before="100" w:beforeAutospacing="1" w:after="100" w:afterAutospacing="1"/>
        <w:outlineLvl w:val="2"/>
        <w:rPr>
          <w:rFonts w:ascii="Times New Roman" w:hAnsi="Times New Roman" w:cs="Times New Roman"/>
        </w:rPr>
      </w:pPr>
      <w:r w:rsidRPr="00125887">
        <w:rPr>
          <w:rFonts w:ascii="Times New Roman" w:hAnsi="Times New Roman" w:cs="Times New Roman"/>
        </w:rPr>
        <w:t>Article 2</w:t>
      </w:r>
    </w:p>
    <w:p w14:paraId="3A2E6065" w14:textId="77777777" w:rsidR="00125887" w:rsidRPr="00125887" w:rsidRDefault="00125887" w:rsidP="00125887">
      <w:pPr>
        <w:spacing w:before="100" w:beforeAutospacing="1" w:after="100" w:afterAutospacing="1"/>
        <w:rPr>
          <w:rFonts w:ascii="Times New Roman" w:hAnsi="Times New Roman" w:cs="Times New Roman"/>
        </w:rPr>
      </w:pPr>
      <w:r w:rsidRPr="00125887">
        <w:rPr>
          <w:rFonts w:ascii="Times New Roman" w:hAnsi="Times New Roman" w:cs="Times New Roman"/>
        </w:rPr>
        <w:t>The total number of full-time faculty members allowed sabbatical research, secondment, overseas teaching and research, study leave, or leave of absence in a given academic year must not exceed 25% of the total number of full-time faculty in the department. Among them, sabbatical research shall not exceed 15% of the total number of professors and associate professors in the department (rounded up).</w:t>
      </w:r>
    </w:p>
    <w:p w14:paraId="2034C681" w14:textId="4442568A" w:rsidR="00125887" w:rsidRPr="00125887" w:rsidRDefault="00125887" w:rsidP="00125887">
      <w:pPr>
        <w:rPr>
          <w:rFonts w:ascii="Times New Roman" w:hAnsi="Times New Roman" w:cs="Times New Roman"/>
        </w:rPr>
      </w:pPr>
    </w:p>
    <w:p w14:paraId="23B0051A" w14:textId="77777777" w:rsidR="00125887" w:rsidRPr="00125887" w:rsidRDefault="00125887" w:rsidP="00125887">
      <w:pPr>
        <w:spacing w:before="100" w:beforeAutospacing="1" w:after="100" w:afterAutospacing="1"/>
        <w:outlineLvl w:val="2"/>
        <w:rPr>
          <w:rFonts w:ascii="Times New Roman" w:hAnsi="Times New Roman" w:cs="Times New Roman"/>
        </w:rPr>
      </w:pPr>
      <w:r w:rsidRPr="00125887">
        <w:rPr>
          <w:rFonts w:ascii="Times New Roman" w:hAnsi="Times New Roman" w:cs="Times New Roman"/>
        </w:rPr>
        <w:t>Article 3</w:t>
      </w:r>
    </w:p>
    <w:p w14:paraId="32C07FCD" w14:textId="77777777" w:rsidR="00125887" w:rsidRPr="00125887" w:rsidRDefault="00125887" w:rsidP="00125887">
      <w:pPr>
        <w:spacing w:before="100" w:beforeAutospacing="1" w:after="100" w:afterAutospacing="1"/>
        <w:rPr>
          <w:rFonts w:ascii="Times New Roman" w:hAnsi="Times New Roman" w:cs="Times New Roman"/>
        </w:rPr>
      </w:pPr>
      <w:r w:rsidRPr="00125887">
        <w:rPr>
          <w:rFonts w:ascii="Times New Roman" w:hAnsi="Times New Roman" w:cs="Times New Roman"/>
        </w:rPr>
        <w:t>At the beginning of the second semester each academic year, the department office shall investigate professors’ and associate professors’ intent to apply for sabbatical research. If multiple applications are submitted simultaneously, the order of priority shall be as follows:</w:t>
      </w:r>
    </w:p>
    <w:p w14:paraId="1DF3AEA5" w14:textId="77777777" w:rsidR="00125887" w:rsidRPr="00125887" w:rsidRDefault="00125887" w:rsidP="00125887">
      <w:pPr>
        <w:numPr>
          <w:ilvl w:val="0"/>
          <w:numId w:val="5"/>
        </w:numPr>
        <w:spacing w:before="100" w:beforeAutospacing="1" w:after="100" w:afterAutospacing="1"/>
        <w:rPr>
          <w:rFonts w:ascii="Times New Roman" w:hAnsi="Times New Roman" w:cs="Times New Roman"/>
        </w:rPr>
      </w:pPr>
      <w:r w:rsidRPr="00125887">
        <w:rPr>
          <w:rFonts w:ascii="Times New Roman" w:hAnsi="Times New Roman" w:cs="Times New Roman"/>
        </w:rPr>
        <w:t>Sabbatical research</w:t>
      </w:r>
    </w:p>
    <w:p w14:paraId="287FBB3F" w14:textId="77777777" w:rsidR="00125887" w:rsidRPr="00125887" w:rsidRDefault="00125887" w:rsidP="00125887">
      <w:pPr>
        <w:numPr>
          <w:ilvl w:val="0"/>
          <w:numId w:val="5"/>
        </w:numPr>
        <w:spacing w:before="100" w:beforeAutospacing="1" w:after="100" w:afterAutospacing="1"/>
        <w:rPr>
          <w:rFonts w:ascii="Times New Roman" w:hAnsi="Times New Roman" w:cs="Times New Roman"/>
        </w:rPr>
      </w:pPr>
      <w:r w:rsidRPr="00125887">
        <w:rPr>
          <w:rFonts w:ascii="Times New Roman" w:hAnsi="Times New Roman" w:cs="Times New Roman"/>
        </w:rPr>
        <w:t>Secondment</w:t>
      </w:r>
    </w:p>
    <w:p w14:paraId="473F286B" w14:textId="77777777" w:rsidR="00125887" w:rsidRPr="00125887" w:rsidRDefault="00125887" w:rsidP="00125887">
      <w:pPr>
        <w:numPr>
          <w:ilvl w:val="0"/>
          <w:numId w:val="5"/>
        </w:numPr>
        <w:spacing w:before="100" w:beforeAutospacing="1" w:after="100" w:afterAutospacing="1"/>
        <w:rPr>
          <w:rFonts w:ascii="Times New Roman" w:hAnsi="Times New Roman" w:cs="Times New Roman"/>
        </w:rPr>
      </w:pPr>
      <w:r w:rsidRPr="00125887">
        <w:rPr>
          <w:rFonts w:ascii="Times New Roman" w:hAnsi="Times New Roman" w:cs="Times New Roman"/>
        </w:rPr>
        <w:t>Overseas teaching and research or study leave</w:t>
      </w:r>
    </w:p>
    <w:p w14:paraId="5CFE641D" w14:textId="77777777" w:rsidR="00125887" w:rsidRPr="00125887" w:rsidRDefault="00125887" w:rsidP="00125887">
      <w:pPr>
        <w:numPr>
          <w:ilvl w:val="0"/>
          <w:numId w:val="5"/>
        </w:numPr>
        <w:spacing w:before="100" w:beforeAutospacing="1" w:after="100" w:afterAutospacing="1"/>
        <w:rPr>
          <w:rFonts w:ascii="Times New Roman" w:hAnsi="Times New Roman" w:cs="Times New Roman"/>
        </w:rPr>
      </w:pPr>
      <w:r w:rsidRPr="00125887">
        <w:rPr>
          <w:rFonts w:ascii="Times New Roman" w:hAnsi="Times New Roman" w:cs="Times New Roman"/>
        </w:rPr>
        <w:t>Leave of absence</w:t>
      </w:r>
    </w:p>
    <w:p w14:paraId="2653A52C" w14:textId="64F27368" w:rsidR="00125887" w:rsidRPr="00125887" w:rsidRDefault="00125887" w:rsidP="00125887">
      <w:pPr>
        <w:rPr>
          <w:rFonts w:ascii="Times New Roman" w:hAnsi="Times New Roman" w:cs="Times New Roman"/>
        </w:rPr>
      </w:pPr>
    </w:p>
    <w:p w14:paraId="71F44D64" w14:textId="77777777" w:rsidR="00125887" w:rsidRPr="00125887" w:rsidRDefault="00125887" w:rsidP="00125887">
      <w:pPr>
        <w:spacing w:before="100" w:beforeAutospacing="1" w:after="100" w:afterAutospacing="1"/>
        <w:outlineLvl w:val="2"/>
        <w:rPr>
          <w:rFonts w:ascii="Times New Roman" w:hAnsi="Times New Roman" w:cs="Times New Roman"/>
        </w:rPr>
      </w:pPr>
      <w:r w:rsidRPr="00125887">
        <w:rPr>
          <w:rFonts w:ascii="Times New Roman" w:hAnsi="Times New Roman" w:cs="Times New Roman"/>
        </w:rPr>
        <w:t>Article 4</w:t>
      </w:r>
    </w:p>
    <w:p w14:paraId="4449EF50" w14:textId="77777777" w:rsidR="00125887" w:rsidRPr="00125887" w:rsidRDefault="00125887" w:rsidP="00125887">
      <w:pPr>
        <w:spacing w:before="100" w:beforeAutospacing="1" w:after="100" w:afterAutospacing="1"/>
        <w:rPr>
          <w:rFonts w:ascii="Times New Roman" w:hAnsi="Times New Roman" w:cs="Times New Roman"/>
        </w:rPr>
      </w:pPr>
      <w:r w:rsidRPr="00125887">
        <w:rPr>
          <w:rFonts w:ascii="Times New Roman" w:hAnsi="Times New Roman" w:cs="Times New Roman"/>
        </w:rPr>
        <w:t xml:space="preserve">Applications for secondment and leave of absence require approval via voting at the Department Affairs Meeting, while applications for sabbatical research and overseas teaching or study leave require voting by the Faculty Evaluation Committee. Approval requires a majority vote (50% or </w:t>
      </w:r>
      <w:r w:rsidRPr="00125887">
        <w:rPr>
          <w:rFonts w:ascii="Times New Roman" w:hAnsi="Times New Roman" w:cs="Times New Roman"/>
        </w:rPr>
        <w:lastRenderedPageBreak/>
        <w:t>more). For the Department Affairs Meeting discussing secondment and leave of absence, attendance must reach three-fourths of the eligible attendees. For the Faculty Evaluation Committee discussing sabbatical research and overseas teaching or study leave, attendance must reach two-thirds of eligible attendees.</w:t>
      </w:r>
    </w:p>
    <w:p w14:paraId="636E9ECF" w14:textId="77777777" w:rsidR="00125887" w:rsidRPr="00125887" w:rsidRDefault="00125887" w:rsidP="00125887">
      <w:pPr>
        <w:spacing w:before="100" w:beforeAutospacing="1" w:after="100" w:afterAutospacing="1"/>
        <w:rPr>
          <w:rFonts w:ascii="Times New Roman" w:hAnsi="Times New Roman" w:cs="Times New Roman"/>
        </w:rPr>
      </w:pPr>
      <w:r w:rsidRPr="00125887">
        <w:rPr>
          <w:rFonts w:ascii="Times New Roman" w:hAnsi="Times New Roman" w:cs="Times New Roman"/>
        </w:rPr>
        <w:t>The number of eligible attendees excludes the following:</w:t>
      </w:r>
    </w:p>
    <w:p w14:paraId="25CF67BB" w14:textId="77777777" w:rsidR="00125887" w:rsidRPr="00125887" w:rsidRDefault="00125887" w:rsidP="00125887">
      <w:pPr>
        <w:numPr>
          <w:ilvl w:val="0"/>
          <w:numId w:val="6"/>
        </w:numPr>
        <w:spacing w:before="100" w:beforeAutospacing="1" w:after="100" w:afterAutospacing="1"/>
        <w:rPr>
          <w:rFonts w:ascii="Times New Roman" w:hAnsi="Times New Roman" w:cs="Times New Roman"/>
        </w:rPr>
      </w:pPr>
      <w:r w:rsidRPr="00125887">
        <w:rPr>
          <w:rFonts w:ascii="Times New Roman" w:hAnsi="Times New Roman" w:cs="Times New Roman"/>
        </w:rPr>
        <w:t>Faculty on secondment</w:t>
      </w:r>
    </w:p>
    <w:p w14:paraId="20CB466E" w14:textId="77777777" w:rsidR="00125887" w:rsidRPr="00125887" w:rsidRDefault="00125887" w:rsidP="00125887">
      <w:pPr>
        <w:numPr>
          <w:ilvl w:val="0"/>
          <w:numId w:val="6"/>
        </w:numPr>
        <w:spacing w:before="100" w:beforeAutospacing="1" w:after="100" w:afterAutospacing="1"/>
        <w:rPr>
          <w:rFonts w:ascii="Times New Roman" w:hAnsi="Times New Roman" w:cs="Times New Roman"/>
        </w:rPr>
      </w:pPr>
      <w:r w:rsidRPr="00125887">
        <w:rPr>
          <w:rFonts w:ascii="Times New Roman" w:hAnsi="Times New Roman" w:cs="Times New Roman"/>
        </w:rPr>
        <w:t>Faculty on overseas teaching or study leave</w:t>
      </w:r>
    </w:p>
    <w:p w14:paraId="3159A71B" w14:textId="77777777" w:rsidR="00125887" w:rsidRPr="00125887" w:rsidRDefault="00125887" w:rsidP="00125887">
      <w:pPr>
        <w:numPr>
          <w:ilvl w:val="0"/>
          <w:numId w:val="6"/>
        </w:numPr>
        <w:spacing w:before="100" w:beforeAutospacing="1" w:after="100" w:afterAutospacing="1"/>
        <w:rPr>
          <w:rFonts w:ascii="Times New Roman" w:hAnsi="Times New Roman" w:cs="Times New Roman"/>
        </w:rPr>
      </w:pPr>
      <w:r w:rsidRPr="00125887">
        <w:rPr>
          <w:rFonts w:ascii="Times New Roman" w:hAnsi="Times New Roman" w:cs="Times New Roman"/>
        </w:rPr>
        <w:t>Written leave of absence attendees (for the specific meeting)</w:t>
      </w:r>
    </w:p>
    <w:p w14:paraId="576C72AD" w14:textId="77777777" w:rsidR="00125887" w:rsidRPr="00125887" w:rsidRDefault="00125887" w:rsidP="00125887">
      <w:pPr>
        <w:numPr>
          <w:ilvl w:val="0"/>
          <w:numId w:val="6"/>
        </w:numPr>
        <w:spacing w:before="100" w:beforeAutospacing="1" w:after="100" w:afterAutospacing="1"/>
        <w:rPr>
          <w:rFonts w:ascii="Times New Roman" w:hAnsi="Times New Roman" w:cs="Times New Roman"/>
        </w:rPr>
      </w:pPr>
      <w:r w:rsidRPr="00125887">
        <w:rPr>
          <w:rFonts w:ascii="Times New Roman" w:hAnsi="Times New Roman" w:cs="Times New Roman"/>
        </w:rPr>
        <w:t>Hospitalized faculty</w:t>
      </w:r>
    </w:p>
    <w:p w14:paraId="767835B4" w14:textId="77777777" w:rsidR="00125887" w:rsidRPr="00125887" w:rsidRDefault="00125887" w:rsidP="00125887">
      <w:pPr>
        <w:numPr>
          <w:ilvl w:val="0"/>
          <w:numId w:val="6"/>
        </w:numPr>
        <w:spacing w:before="100" w:beforeAutospacing="1" w:after="100" w:afterAutospacing="1"/>
        <w:rPr>
          <w:rFonts w:ascii="Times New Roman" w:hAnsi="Times New Roman" w:cs="Times New Roman"/>
        </w:rPr>
      </w:pPr>
      <w:r w:rsidRPr="00125887">
        <w:rPr>
          <w:rFonts w:ascii="Times New Roman" w:hAnsi="Times New Roman" w:cs="Times New Roman"/>
        </w:rPr>
        <w:t>Faculty on sabbatical not in attendance</w:t>
      </w:r>
    </w:p>
    <w:p w14:paraId="7CB138F1" w14:textId="77777777" w:rsidR="00125887" w:rsidRPr="00125887" w:rsidRDefault="00125887" w:rsidP="00125887">
      <w:pPr>
        <w:numPr>
          <w:ilvl w:val="0"/>
          <w:numId w:val="6"/>
        </w:numPr>
        <w:spacing w:before="100" w:beforeAutospacing="1" w:after="100" w:afterAutospacing="1"/>
        <w:rPr>
          <w:rFonts w:ascii="Times New Roman" w:hAnsi="Times New Roman" w:cs="Times New Roman"/>
        </w:rPr>
      </w:pPr>
      <w:r w:rsidRPr="00125887">
        <w:rPr>
          <w:rFonts w:ascii="Times New Roman" w:hAnsi="Times New Roman" w:cs="Times New Roman"/>
        </w:rPr>
        <w:t>Faculty on official leave (including attending conferences abroad)</w:t>
      </w:r>
    </w:p>
    <w:p w14:paraId="35E26DD0" w14:textId="6665A832" w:rsidR="00125887" w:rsidRPr="00125887" w:rsidRDefault="00125887" w:rsidP="00125887">
      <w:pPr>
        <w:rPr>
          <w:rFonts w:ascii="Times New Roman" w:hAnsi="Times New Roman" w:cs="Times New Roman"/>
        </w:rPr>
      </w:pPr>
    </w:p>
    <w:p w14:paraId="4A9B8C91" w14:textId="77777777" w:rsidR="00125887" w:rsidRPr="00125887" w:rsidRDefault="00125887" w:rsidP="00125887">
      <w:pPr>
        <w:spacing w:before="100" w:beforeAutospacing="1" w:after="100" w:afterAutospacing="1"/>
        <w:outlineLvl w:val="2"/>
        <w:rPr>
          <w:rFonts w:ascii="Times New Roman" w:hAnsi="Times New Roman" w:cs="Times New Roman"/>
        </w:rPr>
      </w:pPr>
      <w:r w:rsidRPr="00125887">
        <w:rPr>
          <w:rFonts w:ascii="Times New Roman" w:hAnsi="Times New Roman" w:cs="Times New Roman"/>
        </w:rPr>
        <w:t>Article 5</w:t>
      </w:r>
    </w:p>
    <w:p w14:paraId="4C6C85DE" w14:textId="77777777" w:rsidR="00125887" w:rsidRPr="00125887" w:rsidRDefault="00125887" w:rsidP="00125887">
      <w:pPr>
        <w:spacing w:before="100" w:beforeAutospacing="1" w:after="100" w:afterAutospacing="1"/>
        <w:rPr>
          <w:rFonts w:ascii="Times New Roman" w:hAnsi="Times New Roman" w:cs="Times New Roman"/>
        </w:rPr>
      </w:pPr>
      <w:r w:rsidRPr="00125887">
        <w:rPr>
          <w:rFonts w:ascii="Times New Roman" w:hAnsi="Times New Roman" w:cs="Times New Roman"/>
        </w:rPr>
        <w:t>Regulations for Secondment</w:t>
      </w:r>
    </w:p>
    <w:p w14:paraId="7A5884C4" w14:textId="77777777" w:rsidR="00125887" w:rsidRPr="00125887" w:rsidRDefault="00125887" w:rsidP="00125887">
      <w:pPr>
        <w:numPr>
          <w:ilvl w:val="0"/>
          <w:numId w:val="7"/>
        </w:numPr>
        <w:spacing w:before="100" w:beforeAutospacing="1" w:after="100" w:afterAutospacing="1"/>
        <w:rPr>
          <w:rFonts w:ascii="Times New Roman" w:hAnsi="Times New Roman" w:cs="Times New Roman"/>
        </w:rPr>
      </w:pPr>
      <w:r w:rsidRPr="00125887">
        <w:rPr>
          <w:rFonts w:ascii="Times New Roman" w:hAnsi="Times New Roman" w:cs="Times New Roman"/>
        </w:rPr>
        <w:t>The term of secondment is two years in principle. If necessary, it may be extended by up to two more years with approval at the Department Affairs Meeting.</w:t>
      </w:r>
    </w:p>
    <w:p w14:paraId="30EA3B5B" w14:textId="77777777" w:rsidR="00125887" w:rsidRPr="00125887" w:rsidRDefault="00125887" w:rsidP="00125887">
      <w:pPr>
        <w:numPr>
          <w:ilvl w:val="0"/>
          <w:numId w:val="7"/>
        </w:numPr>
        <w:spacing w:before="100" w:beforeAutospacing="1" w:after="100" w:afterAutospacing="1"/>
        <w:rPr>
          <w:rFonts w:ascii="Times New Roman" w:hAnsi="Times New Roman" w:cs="Times New Roman"/>
        </w:rPr>
      </w:pPr>
      <w:r w:rsidRPr="00125887">
        <w:rPr>
          <w:rFonts w:ascii="Times New Roman" w:hAnsi="Times New Roman" w:cs="Times New Roman"/>
        </w:rPr>
        <w:t>After returning from secondment, faculty must serve the department for two years before reapplying for overseas teaching, study leave, or secondment.</w:t>
      </w:r>
    </w:p>
    <w:p w14:paraId="24F3D81E" w14:textId="77777777" w:rsidR="00125887" w:rsidRPr="00125887" w:rsidRDefault="00125887" w:rsidP="00125887">
      <w:pPr>
        <w:numPr>
          <w:ilvl w:val="0"/>
          <w:numId w:val="7"/>
        </w:numPr>
        <w:spacing w:before="100" w:beforeAutospacing="1" w:after="100" w:afterAutospacing="1"/>
        <w:rPr>
          <w:rFonts w:ascii="Times New Roman" w:hAnsi="Times New Roman" w:cs="Times New Roman"/>
        </w:rPr>
      </w:pPr>
      <w:r w:rsidRPr="00125887">
        <w:rPr>
          <w:rFonts w:ascii="Times New Roman" w:hAnsi="Times New Roman" w:cs="Times New Roman"/>
        </w:rPr>
        <w:t>Starting the new academic year after secondment, faculty may supervise no more than one new graduate student per year in both the master's and doctoral programs.</w:t>
      </w:r>
    </w:p>
    <w:p w14:paraId="39B6CA5F" w14:textId="77777777" w:rsidR="00125887" w:rsidRPr="00125887" w:rsidRDefault="00125887" w:rsidP="00125887">
      <w:pPr>
        <w:numPr>
          <w:ilvl w:val="0"/>
          <w:numId w:val="7"/>
        </w:numPr>
        <w:spacing w:before="100" w:beforeAutospacing="1" w:after="100" w:afterAutospacing="1"/>
        <w:rPr>
          <w:rFonts w:ascii="Times New Roman" w:hAnsi="Times New Roman" w:cs="Times New Roman"/>
        </w:rPr>
      </w:pPr>
      <w:r w:rsidRPr="00125887">
        <w:rPr>
          <w:rFonts w:ascii="Times New Roman" w:hAnsi="Times New Roman" w:cs="Times New Roman"/>
        </w:rPr>
        <w:t>During the secondment period, funds for laboratory instruments and equipment will not be allocated. Any funds previously disbursed will be deducted later.</w:t>
      </w:r>
    </w:p>
    <w:p w14:paraId="347E5F53" w14:textId="77777777" w:rsidR="00125887" w:rsidRPr="00125887" w:rsidRDefault="00125887" w:rsidP="00125887">
      <w:pPr>
        <w:numPr>
          <w:ilvl w:val="0"/>
          <w:numId w:val="7"/>
        </w:numPr>
        <w:spacing w:before="100" w:beforeAutospacing="1" w:after="100" w:afterAutospacing="1"/>
        <w:rPr>
          <w:rFonts w:ascii="Times New Roman" w:hAnsi="Times New Roman" w:cs="Times New Roman"/>
        </w:rPr>
      </w:pPr>
      <w:r w:rsidRPr="00125887">
        <w:rPr>
          <w:rFonts w:ascii="Times New Roman" w:hAnsi="Times New Roman" w:cs="Times New Roman"/>
        </w:rPr>
        <w:t>Faculty on secondment should teach at least one course per semester, with a minimum of three credits.</w:t>
      </w:r>
    </w:p>
    <w:p w14:paraId="6F1BD18F" w14:textId="3167639F" w:rsidR="00125887" w:rsidRPr="00125887" w:rsidRDefault="00125887" w:rsidP="00125887">
      <w:pPr>
        <w:rPr>
          <w:rFonts w:ascii="Times New Roman" w:hAnsi="Times New Roman" w:cs="Times New Roman"/>
        </w:rPr>
      </w:pPr>
    </w:p>
    <w:p w14:paraId="1943560F" w14:textId="77777777" w:rsidR="00125887" w:rsidRPr="00125887" w:rsidRDefault="00125887" w:rsidP="00125887">
      <w:pPr>
        <w:spacing w:before="100" w:beforeAutospacing="1" w:after="100" w:afterAutospacing="1"/>
        <w:outlineLvl w:val="2"/>
        <w:rPr>
          <w:rFonts w:ascii="Times New Roman" w:hAnsi="Times New Roman" w:cs="Times New Roman"/>
        </w:rPr>
      </w:pPr>
      <w:r w:rsidRPr="00125887">
        <w:rPr>
          <w:rFonts w:ascii="Times New Roman" w:hAnsi="Times New Roman" w:cs="Times New Roman"/>
        </w:rPr>
        <w:t>Article 6</w:t>
      </w:r>
    </w:p>
    <w:p w14:paraId="474941B5" w14:textId="77777777" w:rsidR="00125887" w:rsidRPr="00125887" w:rsidRDefault="00125887" w:rsidP="00125887">
      <w:pPr>
        <w:spacing w:before="100" w:beforeAutospacing="1" w:after="100" w:afterAutospacing="1"/>
        <w:rPr>
          <w:rFonts w:ascii="Times New Roman" w:hAnsi="Times New Roman" w:cs="Times New Roman"/>
        </w:rPr>
      </w:pPr>
      <w:r w:rsidRPr="00125887">
        <w:rPr>
          <w:rFonts w:ascii="Times New Roman" w:hAnsi="Times New Roman" w:cs="Times New Roman"/>
        </w:rPr>
        <w:t>Application Timeline</w:t>
      </w:r>
    </w:p>
    <w:p w14:paraId="606AA8CD" w14:textId="77777777" w:rsidR="00125887" w:rsidRPr="00125887" w:rsidRDefault="00125887" w:rsidP="00125887">
      <w:pPr>
        <w:numPr>
          <w:ilvl w:val="0"/>
          <w:numId w:val="8"/>
        </w:numPr>
        <w:spacing w:before="100" w:beforeAutospacing="1" w:after="100" w:afterAutospacing="1"/>
        <w:rPr>
          <w:rFonts w:ascii="Times New Roman" w:hAnsi="Times New Roman" w:cs="Times New Roman"/>
        </w:rPr>
      </w:pPr>
      <w:r w:rsidRPr="00125887">
        <w:rPr>
          <w:rFonts w:ascii="Times New Roman" w:hAnsi="Times New Roman" w:cs="Times New Roman"/>
        </w:rPr>
        <w:t xml:space="preserve">Applications for sabbatical research and overseas teaching or study leave for the upcoming August and the following February should be submitted by the end of February and August, respectively. The Department Chair will convene the Faculty Evaluation Committee in March and September to determine the preliminary list of </w:t>
      </w:r>
      <w:proofErr w:type="gramStart"/>
      <w:r w:rsidRPr="00125887">
        <w:rPr>
          <w:rFonts w:ascii="Times New Roman" w:hAnsi="Times New Roman" w:cs="Times New Roman"/>
        </w:rPr>
        <w:t>faculty</w:t>
      </w:r>
      <w:proofErr w:type="gramEnd"/>
      <w:r w:rsidRPr="00125887">
        <w:rPr>
          <w:rFonts w:ascii="Times New Roman" w:hAnsi="Times New Roman" w:cs="Times New Roman"/>
        </w:rPr>
        <w:t xml:space="preserve"> for sabbatical research.</w:t>
      </w:r>
    </w:p>
    <w:p w14:paraId="76DA9776" w14:textId="77777777" w:rsidR="00125887" w:rsidRPr="00125887" w:rsidRDefault="00125887" w:rsidP="00125887">
      <w:pPr>
        <w:numPr>
          <w:ilvl w:val="0"/>
          <w:numId w:val="8"/>
        </w:numPr>
        <w:spacing w:before="100" w:beforeAutospacing="1" w:after="100" w:afterAutospacing="1"/>
        <w:rPr>
          <w:rFonts w:ascii="Times New Roman" w:hAnsi="Times New Roman" w:cs="Times New Roman"/>
        </w:rPr>
      </w:pPr>
      <w:r w:rsidRPr="00125887">
        <w:rPr>
          <w:rFonts w:ascii="Times New Roman" w:hAnsi="Times New Roman" w:cs="Times New Roman"/>
        </w:rPr>
        <w:t>The Faculty Evaluation Committee will review sabbatical leave applications for the next semester or academic year in March and September each year.</w:t>
      </w:r>
    </w:p>
    <w:p w14:paraId="151DA6B4" w14:textId="77777777" w:rsidR="00125887" w:rsidRPr="00125887" w:rsidRDefault="00125887" w:rsidP="00125887">
      <w:pPr>
        <w:tabs>
          <w:tab w:val="num" w:pos="993"/>
        </w:tabs>
        <w:ind w:left="993" w:hanging="993"/>
        <w:jc w:val="both"/>
        <w:rPr>
          <w:rFonts w:ascii="Times New Roman" w:hAnsi="Times New Roman" w:cs="Times New Roman"/>
        </w:rPr>
      </w:pPr>
      <w:r w:rsidRPr="00125887">
        <w:rPr>
          <w:rFonts w:ascii="Times New Roman" w:hAnsi="Times New Roman" w:cs="Times New Roman"/>
        </w:rPr>
        <w:t>Article 7</w:t>
      </w:r>
    </w:p>
    <w:p w14:paraId="2D90F6E6" w14:textId="77777777" w:rsidR="00125887" w:rsidRPr="00125887" w:rsidRDefault="00125887" w:rsidP="00125887">
      <w:pPr>
        <w:tabs>
          <w:tab w:val="num" w:pos="993"/>
        </w:tabs>
        <w:ind w:left="993" w:hanging="993"/>
        <w:jc w:val="both"/>
        <w:rPr>
          <w:rFonts w:ascii="Times New Roman" w:hAnsi="Times New Roman" w:cs="Times New Roman"/>
        </w:rPr>
      </w:pPr>
      <w:r w:rsidRPr="00125887">
        <w:rPr>
          <w:rFonts w:ascii="Times New Roman" w:hAnsi="Times New Roman" w:cs="Times New Roman"/>
        </w:rPr>
        <w:t>If the number of applications for sabbatical research or overseas teaching/study leave exceeds the university’s quota, priority will be determined as follows:</w:t>
      </w:r>
    </w:p>
    <w:p w14:paraId="2D5C8F2D" w14:textId="77777777" w:rsidR="00125887" w:rsidRPr="00125887" w:rsidRDefault="00125887" w:rsidP="00125887">
      <w:pPr>
        <w:numPr>
          <w:ilvl w:val="0"/>
          <w:numId w:val="10"/>
        </w:numPr>
        <w:tabs>
          <w:tab w:val="num" w:pos="993"/>
        </w:tabs>
        <w:jc w:val="both"/>
        <w:rPr>
          <w:rFonts w:ascii="Times New Roman" w:hAnsi="Times New Roman" w:cs="Times New Roman"/>
        </w:rPr>
      </w:pPr>
      <w:r w:rsidRPr="00125887">
        <w:rPr>
          <w:rFonts w:ascii="Times New Roman" w:hAnsi="Times New Roman" w:cs="Times New Roman"/>
        </w:rPr>
        <w:t>First priority: Faculty retiring at age 65 within the last year or final two opportunities for half-year sabbaticals.</w:t>
      </w:r>
    </w:p>
    <w:p w14:paraId="52ED7EF9" w14:textId="77777777" w:rsidR="00125887" w:rsidRPr="00125887" w:rsidRDefault="00125887" w:rsidP="00125887">
      <w:pPr>
        <w:numPr>
          <w:ilvl w:val="0"/>
          <w:numId w:val="10"/>
        </w:numPr>
        <w:tabs>
          <w:tab w:val="num" w:pos="993"/>
        </w:tabs>
        <w:jc w:val="both"/>
        <w:rPr>
          <w:rFonts w:ascii="Times New Roman" w:hAnsi="Times New Roman" w:cs="Times New Roman"/>
        </w:rPr>
      </w:pPr>
      <w:r w:rsidRPr="00125887">
        <w:rPr>
          <w:rFonts w:ascii="Times New Roman" w:hAnsi="Times New Roman" w:cs="Times New Roman"/>
        </w:rPr>
        <w:t>Second priority: Faculty who had their sabbatical deferred to a later year during the previous year’s pre-scheduling coordination.</w:t>
      </w:r>
    </w:p>
    <w:p w14:paraId="7C2CF730" w14:textId="77777777" w:rsidR="00125887" w:rsidRPr="00125887" w:rsidRDefault="00125887" w:rsidP="00125887">
      <w:pPr>
        <w:numPr>
          <w:ilvl w:val="0"/>
          <w:numId w:val="10"/>
        </w:numPr>
        <w:tabs>
          <w:tab w:val="num" w:pos="993"/>
        </w:tabs>
        <w:jc w:val="both"/>
        <w:rPr>
          <w:rFonts w:ascii="Times New Roman" w:hAnsi="Times New Roman" w:cs="Times New Roman"/>
        </w:rPr>
      </w:pPr>
      <w:r w:rsidRPr="00125887">
        <w:rPr>
          <w:rFonts w:ascii="Times New Roman" w:hAnsi="Times New Roman" w:cs="Times New Roman"/>
        </w:rPr>
        <w:lastRenderedPageBreak/>
        <w:t>Third priority: Faculty who have accumulated seven years of service.</w:t>
      </w:r>
    </w:p>
    <w:p w14:paraId="6413D962" w14:textId="77777777" w:rsidR="00125887" w:rsidRPr="00125887" w:rsidRDefault="00125887" w:rsidP="00125887">
      <w:pPr>
        <w:numPr>
          <w:ilvl w:val="0"/>
          <w:numId w:val="10"/>
        </w:numPr>
        <w:tabs>
          <w:tab w:val="num" w:pos="993"/>
        </w:tabs>
        <w:jc w:val="both"/>
        <w:rPr>
          <w:rFonts w:ascii="Times New Roman" w:hAnsi="Times New Roman" w:cs="Times New Roman"/>
        </w:rPr>
      </w:pPr>
      <w:r w:rsidRPr="00125887">
        <w:rPr>
          <w:rFonts w:ascii="Times New Roman" w:hAnsi="Times New Roman" w:cs="Times New Roman"/>
        </w:rPr>
        <w:t>Fourth priority: Faculty who have accumulated at least three and a half years of service.</w:t>
      </w:r>
    </w:p>
    <w:p w14:paraId="688762A2" w14:textId="77777777" w:rsidR="00125887" w:rsidRPr="00125887" w:rsidRDefault="00125887" w:rsidP="00125887">
      <w:pPr>
        <w:numPr>
          <w:ilvl w:val="0"/>
          <w:numId w:val="10"/>
        </w:numPr>
        <w:tabs>
          <w:tab w:val="num" w:pos="993"/>
        </w:tabs>
        <w:jc w:val="both"/>
        <w:rPr>
          <w:rFonts w:ascii="Times New Roman" w:hAnsi="Times New Roman" w:cs="Times New Roman"/>
        </w:rPr>
      </w:pPr>
      <w:r w:rsidRPr="00125887">
        <w:rPr>
          <w:rFonts w:ascii="Times New Roman" w:hAnsi="Times New Roman" w:cs="Times New Roman"/>
        </w:rPr>
        <w:t>Fifth priority: Faculty who submit temporary applications without participating in the pre-scheduling coordination.</w:t>
      </w:r>
    </w:p>
    <w:p w14:paraId="2CDFDF7B" w14:textId="77777777" w:rsidR="00125887" w:rsidRPr="00125887" w:rsidRDefault="00125887" w:rsidP="00125887">
      <w:pPr>
        <w:numPr>
          <w:ilvl w:val="0"/>
          <w:numId w:val="10"/>
        </w:numPr>
        <w:tabs>
          <w:tab w:val="num" w:pos="993"/>
        </w:tabs>
        <w:jc w:val="both"/>
        <w:rPr>
          <w:rFonts w:ascii="Times New Roman" w:hAnsi="Times New Roman" w:cs="Times New Roman"/>
        </w:rPr>
      </w:pPr>
      <w:r w:rsidRPr="00125887">
        <w:rPr>
          <w:rFonts w:ascii="Times New Roman" w:hAnsi="Times New Roman" w:cs="Times New Roman"/>
        </w:rPr>
        <w:t>Sixth priority: Faculty who were approved for a sabbatical by the previous year’s Faculty Evaluation Committee but withdrew and are reapplying.</w:t>
      </w:r>
    </w:p>
    <w:p w14:paraId="238D4A7A" w14:textId="77777777" w:rsidR="00125887" w:rsidRPr="00125887" w:rsidRDefault="00125887" w:rsidP="00125887">
      <w:pPr>
        <w:numPr>
          <w:ilvl w:val="0"/>
          <w:numId w:val="10"/>
        </w:numPr>
        <w:tabs>
          <w:tab w:val="num" w:pos="993"/>
        </w:tabs>
        <w:jc w:val="both"/>
        <w:rPr>
          <w:rFonts w:ascii="Times New Roman" w:hAnsi="Times New Roman" w:cs="Times New Roman"/>
        </w:rPr>
      </w:pPr>
      <w:r w:rsidRPr="00125887">
        <w:rPr>
          <w:rFonts w:ascii="Times New Roman" w:hAnsi="Times New Roman" w:cs="Times New Roman"/>
        </w:rPr>
        <w:t>Seventh priority: Faculty who were approved for a sabbatical but withdrew and are applying for rescheduling.</w:t>
      </w:r>
    </w:p>
    <w:p w14:paraId="415B9F16"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Article 8</w:t>
      </w:r>
    </w:p>
    <w:p w14:paraId="72F2D93E"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Professors and associate professors who have fulfilled the teaching credit requirements for at least seven semesters (or years) and have not previously taken a sabbatical may apply for one (or two) semesters of sabbatical research. Faculty applying for two semesters must complete the sabbatical within two academic years.</w:t>
      </w:r>
    </w:p>
    <w:p w14:paraId="69851FF3"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Associate professors must meet the following criteria to apply for sabbatical research:</w:t>
      </w:r>
    </w:p>
    <w:p w14:paraId="33279401" w14:textId="77777777" w:rsidR="00125887" w:rsidRPr="00125887" w:rsidRDefault="00125887" w:rsidP="00125887">
      <w:pPr>
        <w:numPr>
          <w:ilvl w:val="0"/>
          <w:numId w:val="11"/>
        </w:numPr>
        <w:tabs>
          <w:tab w:val="num" w:pos="993"/>
        </w:tabs>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Secured two or more MOST (Ministry of Science and Technology) research projects as Principal Investigator within the past three years.</w:t>
      </w:r>
    </w:p>
    <w:p w14:paraId="1065C554" w14:textId="77777777" w:rsidR="00125887" w:rsidRPr="00125887" w:rsidRDefault="00125887" w:rsidP="00125887">
      <w:pPr>
        <w:numPr>
          <w:ilvl w:val="0"/>
          <w:numId w:val="11"/>
        </w:numPr>
        <w:tabs>
          <w:tab w:val="num" w:pos="993"/>
        </w:tabs>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Published at least two research articles as first author or corresponding author in SCI journals within the past three years.</w:t>
      </w:r>
    </w:p>
    <w:p w14:paraId="2B4FEEA0" w14:textId="77777777" w:rsidR="00125887" w:rsidRPr="00125887" w:rsidRDefault="00125887" w:rsidP="00125887">
      <w:pPr>
        <w:numPr>
          <w:ilvl w:val="0"/>
          <w:numId w:val="11"/>
        </w:numPr>
        <w:tabs>
          <w:tab w:val="num" w:pos="993"/>
        </w:tabs>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Obtained at least three invention patents domestically or internationally within the past three years.</w:t>
      </w:r>
    </w:p>
    <w:p w14:paraId="34823210" w14:textId="77777777" w:rsidR="00125887" w:rsidRPr="00125887" w:rsidRDefault="00125887" w:rsidP="00125887">
      <w:pPr>
        <w:numPr>
          <w:ilvl w:val="0"/>
          <w:numId w:val="11"/>
        </w:numPr>
        <w:tabs>
          <w:tab w:val="num" w:pos="993"/>
        </w:tabs>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 xml:space="preserve">Received a </w:t>
      </w:r>
      <w:r w:rsidRPr="00125887">
        <w:rPr>
          <w:rFonts w:ascii="Times New Roman" w:eastAsia="標楷體" w:hAnsi="Times New Roman" w:cs="Times New Roman"/>
          <w:i/>
          <w:iCs/>
          <w:color w:val="000000"/>
          <w:kern w:val="2"/>
        </w:rPr>
        <w:t>Distinguished Teaching Award</w:t>
      </w:r>
      <w:r w:rsidRPr="00125887">
        <w:rPr>
          <w:rFonts w:ascii="Times New Roman" w:eastAsia="標楷體" w:hAnsi="Times New Roman" w:cs="Times New Roman"/>
          <w:color w:val="000000"/>
          <w:kern w:val="2"/>
        </w:rPr>
        <w:t xml:space="preserve"> from the university while serving as an associate professor.</w:t>
      </w:r>
    </w:p>
    <w:p w14:paraId="01C763A9" w14:textId="3E2F7695"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p>
    <w:p w14:paraId="594707AF"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Article 9</w:t>
      </w:r>
    </w:p>
    <w:p w14:paraId="14FEB4BF"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Among applicants of the same priority level, precedence will be determined based on the following:</w:t>
      </w:r>
    </w:p>
    <w:p w14:paraId="0A68CAA6" w14:textId="77777777" w:rsidR="00125887" w:rsidRPr="00125887" w:rsidRDefault="00125887" w:rsidP="00125887">
      <w:pPr>
        <w:numPr>
          <w:ilvl w:val="0"/>
          <w:numId w:val="12"/>
        </w:numPr>
        <w:tabs>
          <w:tab w:val="num" w:pos="993"/>
        </w:tabs>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Length of service for sabbatical eligibility</w:t>
      </w:r>
    </w:p>
    <w:p w14:paraId="7132EBD0" w14:textId="77777777" w:rsidR="00125887" w:rsidRPr="00125887" w:rsidRDefault="00125887" w:rsidP="00125887">
      <w:pPr>
        <w:numPr>
          <w:ilvl w:val="0"/>
          <w:numId w:val="12"/>
        </w:numPr>
        <w:tabs>
          <w:tab w:val="num" w:pos="993"/>
        </w:tabs>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Length of service in the department</w:t>
      </w:r>
    </w:p>
    <w:p w14:paraId="498D7C87" w14:textId="77777777" w:rsidR="00125887" w:rsidRPr="00125887" w:rsidRDefault="00125887" w:rsidP="00125887">
      <w:pPr>
        <w:numPr>
          <w:ilvl w:val="0"/>
          <w:numId w:val="12"/>
        </w:numPr>
        <w:tabs>
          <w:tab w:val="num" w:pos="993"/>
        </w:tabs>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Fewer prior semesters of sabbatical leave taken</w:t>
      </w:r>
    </w:p>
    <w:p w14:paraId="53EF2B85"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Faculty with longer eligibility service, longer departmental service, and fewer sabbatical semesters will be prioritized.</w:t>
      </w:r>
    </w:p>
    <w:p w14:paraId="19657D69" w14:textId="3DE51689"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p>
    <w:p w14:paraId="6588F4CB"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Article 10</w:t>
      </w:r>
    </w:p>
    <w:p w14:paraId="5223ECCE"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For faculty taking a full-year sabbatical, mandatory course assignments will be covered by the department curriculum committee. For those taking a half-year sabbatical, the applicant must propose a substitute instructor when applying in March. To ensure smooth curriculum operations, faculty taking a full-year sabbatical (including split sabbaticals) are generally not eligible for university-funded short-term research grants within one year of returning.</w:t>
      </w:r>
    </w:p>
    <w:p w14:paraId="47408B9A" w14:textId="189E4889"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p>
    <w:p w14:paraId="12387AF3"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Article 11</w:t>
      </w:r>
    </w:p>
    <w:p w14:paraId="1BD17440"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These regulations shall be implemented following approval at the Department Affairs Meeting. Amendments shall follow the same procedure.</w:t>
      </w:r>
    </w:p>
    <w:p w14:paraId="4D658906" w14:textId="77777777" w:rsidR="00125887" w:rsidRPr="00125887" w:rsidRDefault="00125887" w:rsidP="00125887">
      <w:pPr>
        <w:tabs>
          <w:tab w:val="num" w:pos="993"/>
        </w:tabs>
        <w:ind w:left="993" w:hanging="993"/>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4o</w:t>
      </w:r>
    </w:p>
    <w:p w14:paraId="7083CA90" w14:textId="77777777" w:rsidR="006701C3" w:rsidRPr="00125887" w:rsidRDefault="006701C3" w:rsidP="006701C3">
      <w:pPr>
        <w:tabs>
          <w:tab w:val="num" w:pos="993"/>
        </w:tabs>
        <w:ind w:left="993" w:hanging="993"/>
        <w:jc w:val="both"/>
        <w:rPr>
          <w:rFonts w:ascii="Times New Roman" w:eastAsia="標楷體" w:hAnsi="Times New Roman" w:cs="Times New Roman"/>
          <w:color w:val="000000"/>
        </w:rPr>
        <w:sectPr w:rsidR="006701C3" w:rsidRPr="00125887" w:rsidSect="003C02F4">
          <w:footerReference w:type="default" r:id="rId7"/>
          <w:pgSz w:w="11907" w:h="16839" w:code="9"/>
          <w:pgMar w:top="1079" w:right="1134" w:bottom="1260" w:left="1418" w:header="680" w:footer="680" w:gutter="0"/>
          <w:cols w:space="425"/>
          <w:docGrid w:linePitch="326"/>
        </w:sectPr>
      </w:pPr>
    </w:p>
    <w:p w14:paraId="6DE2EA22" w14:textId="3656B0CE" w:rsidR="006701C3" w:rsidRPr="00125887" w:rsidRDefault="00125887" w:rsidP="006701C3">
      <w:pPr>
        <w:widowControl w:val="0"/>
        <w:jc w:val="center"/>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sz w:val="25"/>
          <w:szCs w:val="25"/>
        </w:rPr>
        <w:lastRenderedPageBreak/>
        <w:t xml:space="preserve">Application Form for Full-Time Faculty of the Department of Chemical Engineering, National Chung </w:t>
      </w:r>
      <w:proofErr w:type="spellStart"/>
      <w:r w:rsidRPr="00125887">
        <w:rPr>
          <w:rFonts w:ascii="Times New Roman" w:eastAsia="標楷體" w:hAnsi="Times New Roman" w:cs="Times New Roman"/>
          <w:color w:val="000000"/>
          <w:kern w:val="2"/>
          <w:sz w:val="25"/>
          <w:szCs w:val="25"/>
        </w:rPr>
        <w:t>Hsing</w:t>
      </w:r>
      <w:proofErr w:type="spellEnd"/>
      <w:r w:rsidRPr="00125887">
        <w:rPr>
          <w:rFonts w:ascii="Times New Roman" w:eastAsia="標楷體" w:hAnsi="Times New Roman" w:cs="Times New Roman"/>
          <w:color w:val="000000"/>
          <w:kern w:val="2"/>
          <w:sz w:val="25"/>
          <w:szCs w:val="25"/>
        </w:rPr>
        <w:t xml:space="preserve"> University for Leave for Research, Overseas Lecturing/Research/Training, or Unpaid Leave</w:t>
      </w:r>
    </w:p>
    <w:p w14:paraId="048F66FE" w14:textId="35123907" w:rsidR="006701C3" w:rsidRPr="00125887" w:rsidRDefault="006701C3" w:rsidP="006701C3">
      <w:pPr>
        <w:widowControl w:val="0"/>
        <w:snapToGrid w:val="0"/>
        <w:jc w:val="right"/>
        <w:rPr>
          <w:rFonts w:ascii="Times New Roman" w:eastAsia="標楷體" w:hAnsi="Times New Roman" w:cs="Times New Roman"/>
          <w:color w:val="000000"/>
          <w:kern w:val="2"/>
          <w:sz w:val="22"/>
          <w:szCs w:val="22"/>
        </w:rPr>
      </w:pPr>
      <w:r w:rsidRPr="00125887">
        <w:rPr>
          <w:rFonts w:ascii="Times New Roman" w:eastAsia="標楷體" w:hAnsi="Times New Roman" w:cs="Times New Roman"/>
          <w:color w:val="000000"/>
          <w:kern w:val="2"/>
        </w:rPr>
        <w:t xml:space="preserve"> </w:t>
      </w:r>
      <w:r w:rsidR="00125887" w:rsidRPr="00125887">
        <w:rPr>
          <w:rFonts w:ascii="Times New Roman" w:eastAsia="標楷體" w:hAnsi="Times New Roman" w:cs="Times New Roman"/>
          <w:i/>
          <w:iCs/>
          <w:color w:val="000000"/>
          <w:kern w:val="2"/>
          <w:sz w:val="22"/>
          <w:szCs w:val="22"/>
        </w:rPr>
        <w:t>Amended and Approved by the Department Faculty Evaluation Committee on May 10, 2012.</w:t>
      </w:r>
      <w:r w:rsidR="00125887" w:rsidRPr="00125887">
        <w:rPr>
          <w:rFonts w:ascii="Times New Roman" w:eastAsia="標楷體" w:hAnsi="Times New Roman" w:cs="Times New Roman"/>
          <w:color w:val="000000"/>
          <w:kern w:val="2"/>
          <w:sz w:val="22"/>
          <w:szCs w:val="22"/>
        </w:rPr>
        <w:br/>
      </w:r>
      <w:r w:rsidR="00125887" w:rsidRPr="00125887">
        <w:rPr>
          <w:rFonts w:ascii="Times New Roman" w:eastAsia="標楷體" w:hAnsi="Times New Roman" w:cs="Times New Roman"/>
          <w:i/>
          <w:iCs/>
          <w:color w:val="000000"/>
          <w:kern w:val="2"/>
          <w:sz w:val="22"/>
          <w:szCs w:val="22"/>
        </w:rPr>
        <w:t>Amended and Approved by the Department Affairs Meeting on April 18, 2018.</w:t>
      </w:r>
    </w:p>
    <w:tbl>
      <w:tblPr>
        <w:tblW w:w="10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6"/>
        <w:gridCol w:w="1743"/>
        <w:gridCol w:w="2151"/>
        <w:gridCol w:w="4070"/>
      </w:tblGrid>
      <w:tr w:rsidR="006701C3" w:rsidRPr="00125887" w14:paraId="7061E1CD" w14:textId="77777777" w:rsidTr="006701C3">
        <w:tc>
          <w:tcPr>
            <w:tcW w:w="2526" w:type="dxa"/>
            <w:vAlign w:val="center"/>
          </w:tcPr>
          <w:p w14:paraId="0C6EE2C3" w14:textId="3E4FEDD2" w:rsidR="006701C3" w:rsidRPr="00125887" w:rsidRDefault="00125887" w:rsidP="00626421">
            <w:pPr>
              <w:widowControl w:val="0"/>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Applicant</w:t>
            </w:r>
          </w:p>
        </w:tc>
        <w:tc>
          <w:tcPr>
            <w:tcW w:w="7964" w:type="dxa"/>
            <w:gridSpan w:val="3"/>
            <w:vAlign w:val="center"/>
          </w:tcPr>
          <w:p w14:paraId="14FE0711" w14:textId="77777777" w:rsidR="006701C3" w:rsidRPr="00125887" w:rsidRDefault="006701C3" w:rsidP="00626421">
            <w:pPr>
              <w:widowControl w:val="0"/>
              <w:jc w:val="center"/>
              <w:rPr>
                <w:rFonts w:ascii="Times New Roman" w:eastAsia="標楷體" w:hAnsi="Times New Roman" w:cs="Times New Roman"/>
                <w:color w:val="000000"/>
                <w:kern w:val="2"/>
              </w:rPr>
            </w:pPr>
          </w:p>
        </w:tc>
      </w:tr>
      <w:tr w:rsidR="006701C3" w:rsidRPr="00125887" w14:paraId="452D5776" w14:textId="77777777" w:rsidTr="006701C3">
        <w:tc>
          <w:tcPr>
            <w:tcW w:w="2526" w:type="dxa"/>
            <w:vAlign w:val="center"/>
          </w:tcPr>
          <w:p w14:paraId="76207260" w14:textId="31AECF7A" w:rsidR="006701C3" w:rsidRPr="00125887" w:rsidRDefault="00125887" w:rsidP="00626421">
            <w:pPr>
              <w:widowControl w:val="0"/>
              <w:jc w:val="both"/>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Date of Employment at the University</w:t>
            </w:r>
          </w:p>
        </w:tc>
        <w:tc>
          <w:tcPr>
            <w:tcW w:w="7964" w:type="dxa"/>
            <w:gridSpan w:val="3"/>
          </w:tcPr>
          <w:p w14:paraId="55D0C549" w14:textId="77777777" w:rsidR="006701C3" w:rsidRPr="00125887" w:rsidRDefault="006701C3" w:rsidP="00626421">
            <w:pPr>
              <w:widowControl w:val="0"/>
              <w:rPr>
                <w:rFonts w:ascii="Times New Roman" w:eastAsia="標楷體" w:hAnsi="Times New Roman" w:cs="Times New Roman"/>
                <w:color w:val="000000"/>
                <w:kern w:val="2"/>
              </w:rPr>
            </w:pPr>
          </w:p>
        </w:tc>
      </w:tr>
      <w:tr w:rsidR="006701C3" w:rsidRPr="00125887" w14:paraId="29032F3E" w14:textId="77777777" w:rsidTr="006701C3">
        <w:trPr>
          <w:trHeight w:val="5875"/>
        </w:trPr>
        <w:tc>
          <w:tcPr>
            <w:tcW w:w="10490" w:type="dxa"/>
            <w:gridSpan w:val="4"/>
            <w:vAlign w:val="center"/>
          </w:tcPr>
          <w:p w14:paraId="778130D1" w14:textId="63649EBE" w:rsidR="006701C3" w:rsidRPr="00125887" w:rsidRDefault="006701C3" w:rsidP="00626421">
            <w:pPr>
              <w:widowControl w:val="0"/>
              <w:spacing w:beforeLines="30" w:before="108"/>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w:t>
            </w:r>
            <w:r w:rsidR="00125887" w:rsidRPr="00125887">
              <w:rPr>
                <w:rFonts w:ascii="Times New Roman" w:eastAsia="標楷體" w:hAnsi="Times New Roman" w:cs="Times New Roman"/>
                <w:color w:val="000000"/>
                <w:kern w:val="2"/>
              </w:rPr>
              <w:t>Leave for Research</w:t>
            </w:r>
            <w:r w:rsidR="00125887" w:rsidRPr="00125887">
              <w:rPr>
                <w:rFonts w:ascii="Times New Roman" w:eastAsia="標楷體" w:hAnsi="Times New Roman" w:cs="Times New Roman"/>
                <w:color w:val="000000"/>
                <w:kern w:val="2"/>
              </w:rPr>
              <w:t xml:space="preserve"> </w:t>
            </w:r>
            <w:r w:rsidRPr="00125887">
              <w:rPr>
                <w:rFonts w:ascii="Times New Roman" w:eastAsia="標楷體" w:hAnsi="Times New Roman" w:cs="Times New Roman"/>
                <w:color w:val="000000"/>
                <w:kern w:val="2"/>
              </w:rPr>
              <w:t>(</w:t>
            </w:r>
            <w:r w:rsidR="003E0F39" w:rsidRPr="00125887">
              <w:rPr>
                <w:rFonts w:ascii="Times New Roman" w:eastAsia="標楷體" w:hAnsi="Times New Roman" w:cs="Times New Roman"/>
                <w:color w:val="000000"/>
                <w:kern w:val="2"/>
              </w:rPr>
              <w:t>Academic Year</w:t>
            </w:r>
            <w:r w:rsidRPr="00125887">
              <w:rPr>
                <w:rFonts w:ascii="Times New Roman" w:eastAsia="標楷體" w:hAnsi="Times New Roman" w:cs="Times New Roman"/>
                <w:color w:val="000000"/>
                <w:kern w:val="2"/>
                <w:u w:val="thick"/>
              </w:rPr>
              <w:t xml:space="preserve">      </w:t>
            </w:r>
            <w:r w:rsidR="003E0F39" w:rsidRPr="00125887">
              <w:rPr>
                <w:rFonts w:ascii="Times New Roman" w:eastAsia="標楷體" w:hAnsi="Times New Roman" w:cs="Times New Roman"/>
                <w:color w:val="000000"/>
                <w:kern w:val="2"/>
              </w:rPr>
              <w:t>Semester</w:t>
            </w:r>
            <w:r w:rsidRPr="00125887">
              <w:rPr>
                <w:rFonts w:ascii="Times New Roman" w:eastAsia="標楷體" w:hAnsi="Times New Roman" w:cs="Times New Roman"/>
                <w:color w:val="000000"/>
                <w:kern w:val="2"/>
                <w:u w:val="thick"/>
              </w:rPr>
              <w:t xml:space="preserve">    </w:t>
            </w:r>
            <w:proofErr w:type="gramStart"/>
            <w:r w:rsidRPr="00125887">
              <w:rPr>
                <w:rFonts w:ascii="Times New Roman" w:eastAsia="標楷體" w:hAnsi="Times New Roman" w:cs="Times New Roman"/>
                <w:color w:val="000000"/>
                <w:kern w:val="2"/>
              </w:rPr>
              <w:t>）</w:t>
            </w:r>
            <w:proofErr w:type="gramEnd"/>
          </w:p>
          <w:p w14:paraId="323AB1CB" w14:textId="3C7F094B" w:rsidR="006701C3" w:rsidRPr="00125887" w:rsidRDefault="00125887" w:rsidP="006701C3">
            <w:pPr>
              <w:widowControl w:val="0"/>
              <w:numPr>
                <w:ilvl w:val="0"/>
                <w:numId w:val="4"/>
              </w:numPr>
              <w:tabs>
                <w:tab w:val="left" w:pos="815"/>
              </w:tabs>
              <w:spacing w:beforeLines="30" w:before="108"/>
              <w:ind w:firstLine="13"/>
              <w:rPr>
                <w:rFonts w:ascii="Times New Roman" w:eastAsia="標楷體" w:hAnsi="Times New Roman" w:cs="Times New Roman"/>
                <w:color w:val="000000"/>
                <w:kern w:val="2"/>
                <w:u w:val="thick"/>
              </w:rPr>
            </w:pPr>
            <w:r w:rsidRPr="00125887">
              <w:rPr>
                <w:rFonts w:ascii="Times New Roman" w:eastAsia="標楷體" w:hAnsi="Times New Roman" w:cs="Times New Roman"/>
                <w:color w:val="000000"/>
                <w:kern w:val="2"/>
              </w:rPr>
              <w:t>Start date of seniority as Professor/Associate Professor</w:t>
            </w:r>
            <w:r w:rsidR="006701C3" w:rsidRPr="00125887">
              <w:rPr>
                <w:rFonts w:ascii="Times New Roman" w:eastAsia="標楷體" w:hAnsi="Times New Roman" w:cs="Times New Roman"/>
                <w:color w:val="000000"/>
                <w:kern w:val="2"/>
              </w:rPr>
              <w:t>：</w:t>
            </w:r>
            <w:r w:rsidR="006701C3" w:rsidRPr="00125887">
              <w:rPr>
                <w:rFonts w:ascii="Times New Roman" w:eastAsia="標楷體" w:hAnsi="Times New Roman" w:cs="Times New Roman"/>
                <w:color w:val="000000"/>
                <w:kern w:val="2"/>
              </w:rPr>
              <w:t xml:space="preserve"> </w:t>
            </w:r>
            <w:r w:rsidR="006701C3" w:rsidRPr="00125887">
              <w:rPr>
                <w:rFonts w:ascii="Times New Roman" w:eastAsia="標楷體" w:hAnsi="Times New Roman" w:cs="Times New Roman"/>
                <w:color w:val="000000"/>
                <w:kern w:val="2"/>
                <w:u w:val="thick"/>
              </w:rPr>
              <w:t xml:space="preserve">                       </w:t>
            </w:r>
          </w:p>
          <w:p w14:paraId="10C399EE" w14:textId="7F8C4856" w:rsidR="006701C3" w:rsidRPr="00125887" w:rsidRDefault="00125887" w:rsidP="006701C3">
            <w:pPr>
              <w:widowControl w:val="0"/>
              <w:numPr>
                <w:ilvl w:val="0"/>
                <w:numId w:val="4"/>
              </w:numPr>
              <w:tabs>
                <w:tab w:val="left" w:pos="815"/>
              </w:tabs>
              <w:spacing w:beforeLines="30" w:before="108"/>
              <w:ind w:firstLine="13"/>
              <w:rPr>
                <w:rFonts w:ascii="Times New Roman" w:eastAsia="標楷體" w:hAnsi="Times New Roman" w:cs="Times New Roman"/>
                <w:color w:val="000000"/>
                <w:kern w:val="2"/>
                <w:u w:val="thick"/>
              </w:rPr>
            </w:pPr>
            <w:r w:rsidRPr="00125887">
              <w:rPr>
                <w:rFonts w:ascii="Times New Roman" w:eastAsia="標楷體" w:hAnsi="Times New Roman" w:cs="Times New Roman"/>
                <w:color w:val="000000"/>
                <w:kern w:val="2"/>
              </w:rPr>
              <w:t>Total accumulated seniority eligible for leave for research</w:t>
            </w:r>
            <w:r w:rsidR="006701C3" w:rsidRPr="00125887">
              <w:rPr>
                <w:rFonts w:ascii="Times New Roman" w:eastAsia="標楷體" w:hAnsi="Times New Roman" w:cs="Times New Roman"/>
                <w:color w:val="000000"/>
                <w:kern w:val="2"/>
              </w:rPr>
              <w:t>：</w:t>
            </w:r>
            <w:r w:rsidR="006701C3" w:rsidRPr="00125887">
              <w:rPr>
                <w:rFonts w:ascii="Times New Roman" w:eastAsia="標楷體" w:hAnsi="Times New Roman" w:cs="Times New Roman"/>
                <w:color w:val="000000"/>
                <w:kern w:val="2"/>
              </w:rPr>
              <w:t xml:space="preserve"> </w:t>
            </w:r>
            <w:r w:rsidR="006701C3" w:rsidRPr="00125887">
              <w:rPr>
                <w:rFonts w:ascii="Times New Roman" w:eastAsia="標楷體" w:hAnsi="Times New Roman" w:cs="Times New Roman"/>
                <w:color w:val="000000"/>
                <w:kern w:val="2"/>
                <w:u w:val="thick"/>
              </w:rPr>
              <w:t xml:space="preserve">                            </w:t>
            </w:r>
          </w:p>
          <w:p w14:paraId="3AF5097E" w14:textId="4B39715B" w:rsidR="006701C3" w:rsidRPr="00125887" w:rsidRDefault="00125887" w:rsidP="006701C3">
            <w:pPr>
              <w:widowControl w:val="0"/>
              <w:numPr>
                <w:ilvl w:val="0"/>
                <w:numId w:val="4"/>
              </w:numPr>
              <w:tabs>
                <w:tab w:val="left" w:pos="815"/>
              </w:tabs>
              <w:spacing w:beforeLines="30" w:before="108"/>
              <w:ind w:firstLine="13"/>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If applying for segmented leave, please specify the second leave period</w:t>
            </w:r>
            <w:r w:rsidRPr="00125887">
              <w:rPr>
                <w:rFonts w:ascii="Times New Roman" w:eastAsia="標楷體" w:hAnsi="Times New Roman" w:cs="Times New Roman"/>
                <w:color w:val="000000"/>
                <w:kern w:val="2"/>
              </w:rPr>
              <w:t xml:space="preserve"> </w:t>
            </w:r>
            <w:r w:rsidR="006701C3" w:rsidRPr="00125887">
              <w:rPr>
                <w:rFonts w:ascii="Times New Roman" w:eastAsia="標楷體" w:hAnsi="Times New Roman" w:cs="Times New Roman"/>
                <w:color w:val="000000"/>
                <w:kern w:val="2"/>
              </w:rPr>
              <w:t>(</w:t>
            </w:r>
            <w:r w:rsidR="003E0F39" w:rsidRPr="00125887">
              <w:rPr>
                <w:rFonts w:ascii="Times New Roman" w:eastAsia="標楷體" w:hAnsi="Times New Roman" w:cs="Times New Roman"/>
                <w:color w:val="000000"/>
                <w:kern w:val="2"/>
              </w:rPr>
              <w:t>Academic Year</w:t>
            </w:r>
            <w:r w:rsidR="003E0F39" w:rsidRPr="00125887">
              <w:rPr>
                <w:rFonts w:ascii="Times New Roman" w:eastAsia="標楷體" w:hAnsi="Times New Roman" w:cs="Times New Roman"/>
                <w:color w:val="000000"/>
                <w:kern w:val="2"/>
                <w:u w:val="thick"/>
              </w:rPr>
              <w:t xml:space="preserve">      </w:t>
            </w:r>
            <w:r w:rsidR="003E0F39" w:rsidRPr="00125887">
              <w:rPr>
                <w:rFonts w:ascii="Times New Roman" w:eastAsia="標楷體" w:hAnsi="Times New Roman" w:cs="Times New Roman"/>
                <w:color w:val="000000"/>
                <w:kern w:val="2"/>
              </w:rPr>
              <w:t>Semester</w:t>
            </w:r>
            <w:r w:rsidR="003E0F39" w:rsidRPr="00125887">
              <w:rPr>
                <w:rFonts w:ascii="Times New Roman" w:eastAsia="標楷體" w:hAnsi="Times New Roman" w:cs="Times New Roman"/>
                <w:color w:val="000000"/>
                <w:kern w:val="2"/>
                <w:u w:val="thick"/>
              </w:rPr>
              <w:t xml:space="preserve">    </w:t>
            </w:r>
            <w:proofErr w:type="gramStart"/>
            <w:r w:rsidR="006701C3" w:rsidRPr="00125887">
              <w:rPr>
                <w:rFonts w:ascii="Times New Roman" w:eastAsia="標楷體" w:hAnsi="Times New Roman" w:cs="Times New Roman"/>
                <w:color w:val="000000"/>
                <w:kern w:val="2"/>
              </w:rPr>
              <w:t>）</w:t>
            </w:r>
            <w:proofErr w:type="gramEnd"/>
          </w:p>
          <w:p w14:paraId="6579EBEE" w14:textId="7019BC71" w:rsidR="006701C3" w:rsidRPr="00125887" w:rsidRDefault="006701C3" w:rsidP="00626421">
            <w:pPr>
              <w:widowControl w:val="0"/>
              <w:spacing w:beforeLines="30" w:before="108"/>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w:t>
            </w:r>
            <w:r w:rsidR="003E0F39" w:rsidRPr="003E0F39">
              <w:rPr>
                <w:rFonts w:ascii="Times New Roman" w:eastAsia="標楷體" w:hAnsi="Times New Roman" w:cs="Times New Roman"/>
                <w:color w:val="000000"/>
                <w:kern w:val="2"/>
              </w:rPr>
              <w:t>Parental Leave</w:t>
            </w:r>
          </w:p>
          <w:p w14:paraId="115CFC67" w14:textId="159811A5" w:rsidR="006701C3" w:rsidRPr="00125887" w:rsidRDefault="006701C3" w:rsidP="00626421">
            <w:pPr>
              <w:widowControl w:val="0"/>
              <w:spacing w:beforeLines="30" w:before="108"/>
              <w:ind w:firstLine="280"/>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w:t>
            </w:r>
            <w:r w:rsidR="003E0F39" w:rsidRPr="003E0F39">
              <w:rPr>
                <w:rFonts w:ascii="Times New Roman" w:eastAsia="標楷體" w:hAnsi="Times New Roman" w:cs="Times New Roman"/>
                <w:color w:val="000000"/>
                <w:kern w:val="2"/>
              </w:rPr>
              <w:t>From ___ Year ___ Month to ___ Year ___ Month</w:t>
            </w:r>
            <w:proofErr w:type="gramStart"/>
            <w:r w:rsidRPr="00125887">
              <w:rPr>
                <w:rFonts w:ascii="Times New Roman" w:eastAsia="標楷體" w:hAnsi="Times New Roman" w:cs="Times New Roman"/>
                <w:color w:val="000000"/>
                <w:kern w:val="2"/>
              </w:rPr>
              <w:t>）</w:t>
            </w:r>
            <w:proofErr w:type="gramEnd"/>
          </w:p>
          <w:p w14:paraId="08516702" w14:textId="77777777" w:rsidR="003E0F39" w:rsidRDefault="006701C3" w:rsidP="00626421">
            <w:pPr>
              <w:widowControl w:val="0"/>
              <w:spacing w:beforeLines="30" w:before="108"/>
              <w:ind w:firstLine="280"/>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w:t>
            </w:r>
            <w:r w:rsidR="003E0F39" w:rsidRPr="003E0F39">
              <w:rPr>
                <w:rFonts w:ascii="Times New Roman" w:eastAsia="標楷體" w:hAnsi="Times New Roman" w:cs="Times New Roman"/>
                <w:color w:val="000000"/>
                <w:kern w:val="2"/>
              </w:rPr>
              <w:t>Overseas Lecturing, Research, or Training (Public or Self-Funded)</w:t>
            </w:r>
            <w:r w:rsidR="003E0F39" w:rsidRPr="003E0F39">
              <w:rPr>
                <w:rFonts w:ascii="Times New Roman" w:eastAsia="標楷體" w:hAnsi="Times New Roman" w:cs="Times New Roman"/>
                <w:color w:val="000000"/>
                <w:kern w:val="2"/>
              </w:rPr>
              <w:t xml:space="preserve"> </w:t>
            </w:r>
          </w:p>
          <w:p w14:paraId="32F9A4D1" w14:textId="77777777" w:rsidR="003E0F39" w:rsidRPr="00125887" w:rsidRDefault="003E0F39" w:rsidP="003E0F39">
            <w:pPr>
              <w:widowControl w:val="0"/>
              <w:spacing w:beforeLines="30" w:before="108"/>
              <w:ind w:firstLine="280"/>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w:t>
            </w:r>
            <w:r w:rsidRPr="003E0F39">
              <w:rPr>
                <w:rFonts w:ascii="Times New Roman" w:eastAsia="標楷體" w:hAnsi="Times New Roman" w:cs="Times New Roman"/>
                <w:color w:val="000000"/>
                <w:kern w:val="2"/>
              </w:rPr>
              <w:t>From ___ Year ___ Month to ___ Year ___ Month</w:t>
            </w:r>
            <w:proofErr w:type="gramStart"/>
            <w:r w:rsidRPr="00125887">
              <w:rPr>
                <w:rFonts w:ascii="Times New Roman" w:eastAsia="標楷體" w:hAnsi="Times New Roman" w:cs="Times New Roman"/>
                <w:color w:val="000000"/>
                <w:kern w:val="2"/>
              </w:rPr>
              <w:t>）</w:t>
            </w:r>
            <w:proofErr w:type="gramEnd"/>
          </w:p>
          <w:p w14:paraId="032C824F" w14:textId="107E2A4A" w:rsidR="003E0F39" w:rsidRPr="003E0F39" w:rsidRDefault="006701C3" w:rsidP="003E0F39">
            <w:pPr>
              <w:widowControl w:val="0"/>
              <w:spacing w:beforeLines="30" w:before="108"/>
              <w:ind w:right="-1212"/>
              <w:rPr>
                <w:rFonts w:ascii="Times New Roman" w:eastAsia="標楷體" w:hAnsi="Times New Roman" w:cs="Times New Roman"/>
                <w:color w:val="000000"/>
                <w:kern w:val="2"/>
              </w:rPr>
            </w:pPr>
            <w:r w:rsidRPr="00125887">
              <w:rPr>
                <w:rFonts w:ascii="Times New Roman" w:eastAsia="標楷體" w:hAnsi="Times New Roman" w:cs="Times New Roman"/>
                <w:color w:val="000000"/>
                <w:kern w:val="2"/>
              </w:rPr>
              <w:t xml:space="preserve">  </w:t>
            </w:r>
            <w:r w:rsidR="003E0F39" w:rsidRPr="003E0F39">
              <w:rPr>
                <w:rFonts w:ascii="Times New Roman" w:eastAsia="標楷體" w:hAnsi="Times New Roman" w:cs="Times New Roman"/>
                <w:color w:val="000000"/>
                <w:kern w:val="2"/>
              </w:rPr>
              <w:t xml:space="preserve">For public-funded overseas trips, please specify the intended sponsoring institution </w:t>
            </w:r>
            <w:proofErr w:type="gramStart"/>
            <w:r w:rsidR="003E0F39" w:rsidRPr="003E0F39">
              <w:rPr>
                <w:rFonts w:ascii="Times New Roman" w:eastAsia="標楷體" w:hAnsi="Times New Roman" w:cs="Times New Roman"/>
                <w:color w:val="000000"/>
                <w:kern w:val="2"/>
              </w:rPr>
              <w:t>(</w:t>
            </w:r>
            <w:r w:rsidR="003E0F39">
              <w:rPr>
                <w:rFonts w:ascii="Times New Roman" w:eastAsia="標楷體" w:hAnsi="Times New Roman" w:cs="Times New Roman" w:hint="eastAsia"/>
                <w:color w:val="000000"/>
                <w:kern w:val="2"/>
              </w:rPr>
              <w:t xml:space="preserve">  </w:t>
            </w:r>
            <w:proofErr w:type="gramEnd"/>
            <w:r w:rsidR="003E0F39">
              <w:rPr>
                <w:rFonts w:ascii="Times New Roman" w:eastAsia="標楷體" w:hAnsi="Times New Roman" w:cs="Times New Roman" w:hint="eastAsia"/>
                <w:color w:val="000000"/>
                <w:kern w:val="2"/>
              </w:rPr>
              <w:t xml:space="preserve">          </w:t>
            </w:r>
            <w:r w:rsidR="003E0F39" w:rsidRPr="003E0F39">
              <w:rPr>
                <w:rFonts w:ascii="Times New Roman" w:eastAsia="標楷體" w:hAnsi="Times New Roman" w:cs="Times New Roman"/>
                <w:color w:val="000000"/>
                <w:kern w:val="2"/>
              </w:rPr>
              <w:t xml:space="preserve"> ).</w:t>
            </w:r>
          </w:p>
          <w:p w14:paraId="6369C3A4" w14:textId="77777777" w:rsidR="003E0F39" w:rsidRDefault="003E0F39" w:rsidP="003E0F39">
            <w:pPr>
              <w:widowControl w:val="0"/>
              <w:spacing w:beforeLines="30" w:before="108"/>
              <w:ind w:left="357" w:right="-1212"/>
              <w:rPr>
                <w:rFonts w:ascii="Times New Roman" w:eastAsia="標楷體" w:hAnsi="Times New Roman" w:cs="Times New Roman"/>
                <w:color w:val="000000"/>
                <w:kern w:val="2"/>
              </w:rPr>
            </w:pPr>
            <w:r w:rsidRPr="003E0F39">
              <w:rPr>
                <w:rFonts w:ascii="Times New Roman" w:eastAsia="標楷體" w:hAnsi="Times New Roman" w:cs="Times New Roman"/>
                <w:color w:val="000000"/>
                <w:kern w:val="2"/>
              </w:rPr>
              <w:t>If the duration is within three months and takes place during the summer vacation, this section does not need to be filled out.</w:t>
            </w:r>
          </w:p>
          <w:p w14:paraId="4D68C36C" w14:textId="77777777" w:rsidR="003E0F39" w:rsidRPr="003E0F39" w:rsidRDefault="003E0F39" w:rsidP="003E0F39">
            <w:pPr>
              <w:widowControl w:val="0"/>
              <w:numPr>
                <w:ilvl w:val="0"/>
                <w:numId w:val="2"/>
              </w:numPr>
              <w:spacing w:beforeLines="30" w:before="108"/>
              <w:ind w:right="-1212"/>
              <w:rPr>
                <w:rFonts w:ascii="Times New Roman" w:eastAsia="標楷體" w:hAnsi="Times New Roman" w:cs="Times New Roman"/>
                <w:color w:val="000000"/>
                <w:kern w:val="2"/>
              </w:rPr>
            </w:pPr>
            <w:r w:rsidRPr="003E0F39">
              <w:rPr>
                <w:rFonts w:ascii="Times New Roman" w:eastAsia="標楷體" w:hAnsi="Times New Roman" w:cs="Times New Roman"/>
                <w:color w:val="000000"/>
                <w:kern w:val="2"/>
              </w:rPr>
              <w:t>Other Types of Unpaid Leave</w:t>
            </w:r>
          </w:p>
          <w:p w14:paraId="4802A866" w14:textId="471DDD27" w:rsidR="006701C3" w:rsidRPr="00125887" w:rsidRDefault="003E0F39" w:rsidP="003E0F39">
            <w:pPr>
              <w:widowControl w:val="0"/>
              <w:spacing w:beforeLines="30" w:before="108"/>
              <w:ind w:left="360" w:right="-1212"/>
              <w:rPr>
                <w:rFonts w:ascii="Times New Roman" w:eastAsia="標楷體" w:hAnsi="Times New Roman" w:cs="Times New Roman"/>
                <w:color w:val="000000"/>
                <w:kern w:val="2"/>
              </w:rPr>
            </w:pPr>
            <w:r w:rsidRPr="003E0F39">
              <w:rPr>
                <w:rFonts w:ascii="Times New Roman" w:eastAsia="標楷體" w:hAnsi="Times New Roman" w:cs="Times New Roman"/>
                <w:color w:val="000000"/>
                <w:kern w:val="2"/>
              </w:rPr>
              <w:t>(From ___ Year ___ Month to ___ Year ___ Month)</w:t>
            </w:r>
          </w:p>
        </w:tc>
      </w:tr>
      <w:tr w:rsidR="003E0F39" w:rsidRPr="00125887" w14:paraId="6AFAE182" w14:textId="77777777" w:rsidTr="00207249">
        <w:trPr>
          <w:trHeight w:val="480"/>
        </w:trPr>
        <w:tc>
          <w:tcPr>
            <w:tcW w:w="2526" w:type="dxa"/>
            <w:vMerge w:val="restart"/>
            <w:vAlign w:val="center"/>
          </w:tcPr>
          <w:p w14:paraId="7A381D5C" w14:textId="633D1236" w:rsidR="003E0F39" w:rsidRPr="00125887" w:rsidRDefault="003E0F39" w:rsidP="003E0F39">
            <w:pPr>
              <w:widowControl w:val="0"/>
              <w:jc w:val="both"/>
              <w:rPr>
                <w:rFonts w:ascii="Times New Roman" w:eastAsia="標楷體" w:hAnsi="Times New Roman" w:cs="Times New Roman" w:hint="eastAsia"/>
                <w:color w:val="000000"/>
                <w:kern w:val="2"/>
              </w:rPr>
            </w:pPr>
            <w:r>
              <w:rPr>
                <w:rFonts w:ascii="Times New Roman" w:eastAsia="標楷體" w:hAnsi="Times New Roman" w:cs="Times New Roman" w:hint="eastAsia"/>
                <w:color w:val="000000"/>
                <w:kern w:val="2"/>
              </w:rPr>
              <w:t>Previously Approved Research Leave Periods</w:t>
            </w:r>
          </w:p>
        </w:tc>
        <w:tc>
          <w:tcPr>
            <w:tcW w:w="3894" w:type="dxa"/>
            <w:gridSpan w:val="2"/>
          </w:tcPr>
          <w:p w14:paraId="72C925E8" w14:textId="18366992" w:rsidR="003E0F39" w:rsidRPr="00125887" w:rsidRDefault="003E0F39" w:rsidP="003E0F39">
            <w:pPr>
              <w:widowControl w:val="0"/>
              <w:rPr>
                <w:rFonts w:ascii="Times New Roman" w:eastAsia="標楷體" w:hAnsi="Times New Roman" w:cs="Times New Roman"/>
                <w:color w:val="000000"/>
                <w:kern w:val="2"/>
              </w:rPr>
            </w:pPr>
            <w:r w:rsidRPr="005576F6">
              <w:t>From ___ Year ___ Month to ___ Year ___ Month</w:t>
            </w:r>
          </w:p>
        </w:tc>
        <w:tc>
          <w:tcPr>
            <w:tcW w:w="4070" w:type="dxa"/>
          </w:tcPr>
          <w:p w14:paraId="4AE2699F" w14:textId="2038D3DB" w:rsidR="003E0F39" w:rsidRPr="00125887" w:rsidRDefault="003E0F39" w:rsidP="003E0F39">
            <w:pPr>
              <w:widowControl w:val="0"/>
              <w:rPr>
                <w:rFonts w:ascii="Times New Roman" w:eastAsia="標楷體" w:hAnsi="Times New Roman" w:cs="Times New Roman"/>
                <w:color w:val="000000"/>
                <w:kern w:val="2"/>
              </w:rPr>
            </w:pPr>
            <w:r w:rsidRPr="005576F6">
              <w:t>From ___ Year ___ Month to ___ Year ___ Month</w:t>
            </w:r>
          </w:p>
        </w:tc>
      </w:tr>
      <w:tr w:rsidR="003E0F39" w:rsidRPr="00125887" w14:paraId="3F32EF64" w14:textId="77777777" w:rsidTr="009F1D2F">
        <w:trPr>
          <w:trHeight w:val="480"/>
        </w:trPr>
        <w:tc>
          <w:tcPr>
            <w:tcW w:w="2526" w:type="dxa"/>
            <w:vMerge/>
            <w:vAlign w:val="center"/>
          </w:tcPr>
          <w:p w14:paraId="35AA35E2" w14:textId="77777777" w:rsidR="003E0F39" w:rsidRPr="00125887" w:rsidRDefault="003E0F39" w:rsidP="003E0F39">
            <w:pPr>
              <w:widowControl w:val="0"/>
              <w:jc w:val="both"/>
              <w:rPr>
                <w:rFonts w:ascii="Times New Roman" w:eastAsia="標楷體" w:hAnsi="Times New Roman" w:cs="Times New Roman"/>
                <w:color w:val="000000"/>
                <w:kern w:val="2"/>
              </w:rPr>
            </w:pPr>
          </w:p>
        </w:tc>
        <w:tc>
          <w:tcPr>
            <w:tcW w:w="3894" w:type="dxa"/>
            <w:gridSpan w:val="2"/>
          </w:tcPr>
          <w:p w14:paraId="3EDEE0D4" w14:textId="3CE72D3E" w:rsidR="003E0F39" w:rsidRPr="00125887" w:rsidRDefault="003E0F39" w:rsidP="003E0F39">
            <w:pPr>
              <w:widowControl w:val="0"/>
              <w:rPr>
                <w:rFonts w:ascii="Times New Roman" w:eastAsia="標楷體" w:hAnsi="Times New Roman" w:cs="Times New Roman"/>
                <w:color w:val="000000"/>
                <w:kern w:val="2"/>
              </w:rPr>
            </w:pPr>
            <w:r w:rsidRPr="00F50E2E">
              <w:t>From ___ Year ___ Month to ___ Year ___ Month</w:t>
            </w:r>
          </w:p>
        </w:tc>
        <w:tc>
          <w:tcPr>
            <w:tcW w:w="4070" w:type="dxa"/>
          </w:tcPr>
          <w:p w14:paraId="23B05829" w14:textId="07E348B0" w:rsidR="003E0F39" w:rsidRPr="00125887" w:rsidRDefault="003E0F39" w:rsidP="003E0F39">
            <w:pPr>
              <w:widowControl w:val="0"/>
              <w:rPr>
                <w:rFonts w:ascii="Times New Roman" w:eastAsia="標楷體" w:hAnsi="Times New Roman" w:cs="Times New Roman"/>
                <w:color w:val="000000"/>
                <w:kern w:val="2"/>
              </w:rPr>
            </w:pPr>
            <w:r w:rsidRPr="00F50E2E">
              <w:t>From ___ Year ___ Month to ___ Year ___ Month</w:t>
            </w:r>
          </w:p>
        </w:tc>
      </w:tr>
      <w:tr w:rsidR="003E0F39" w:rsidRPr="00125887" w14:paraId="22005178" w14:textId="77777777" w:rsidTr="009F1D2F">
        <w:trPr>
          <w:trHeight w:val="480"/>
        </w:trPr>
        <w:tc>
          <w:tcPr>
            <w:tcW w:w="2526" w:type="dxa"/>
            <w:vMerge/>
            <w:vAlign w:val="center"/>
          </w:tcPr>
          <w:p w14:paraId="2016A8A5" w14:textId="77777777" w:rsidR="003E0F39" w:rsidRPr="00125887" w:rsidRDefault="003E0F39" w:rsidP="003E0F39">
            <w:pPr>
              <w:widowControl w:val="0"/>
              <w:jc w:val="both"/>
              <w:rPr>
                <w:rFonts w:ascii="Times New Roman" w:eastAsia="標楷體" w:hAnsi="Times New Roman" w:cs="Times New Roman"/>
                <w:color w:val="000000"/>
                <w:kern w:val="2"/>
              </w:rPr>
            </w:pPr>
          </w:p>
        </w:tc>
        <w:tc>
          <w:tcPr>
            <w:tcW w:w="3894" w:type="dxa"/>
            <w:gridSpan w:val="2"/>
          </w:tcPr>
          <w:p w14:paraId="4CAC3967" w14:textId="4E1EF49A" w:rsidR="003E0F39" w:rsidRPr="00125887" w:rsidRDefault="003E0F39" w:rsidP="003E0F39">
            <w:pPr>
              <w:widowControl w:val="0"/>
              <w:rPr>
                <w:rFonts w:ascii="Times New Roman" w:eastAsia="標楷體" w:hAnsi="Times New Roman" w:cs="Times New Roman"/>
                <w:color w:val="000000"/>
                <w:kern w:val="2"/>
              </w:rPr>
            </w:pPr>
            <w:r w:rsidRPr="00F50E2E">
              <w:t>From ___ Year ___ Month to ___ Year ___ Month</w:t>
            </w:r>
          </w:p>
        </w:tc>
        <w:tc>
          <w:tcPr>
            <w:tcW w:w="4070" w:type="dxa"/>
          </w:tcPr>
          <w:p w14:paraId="055ED439" w14:textId="7B6B7B4A" w:rsidR="003E0F39" w:rsidRPr="00125887" w:rsidRDefault="003E0F39" w:rsidP="003E0F39">
            <w:pPr>
              <w:widowControl w:val="0"/>
              <w:rPr>
                <w:rFonts w:ascii="Times New Roman" w:eastAsia="標楷體" w:hAnsi="Times New Roman" w:cs="Times New Roman"/>
                <w:color w:val="000000"/>
                <w:kern w:val="2"/>
              </w:rPr>
            </w:pPr>
            <w:r w:rsidRPr="00F50E2E">
              <w:t>From ___ Year ___ Month to ___ Year ___ Month</w:t>
            </w:r>
          </w:p>
        </w:tc>
      </w:tr>
      <w:tr w:rsidR="006701C3" w:rsidRPr="00125887" w14:paraId="265ADBA5" w14:textId="77777777" w:rsidTr="006701C3">
        <w:trPr>
          <w:trHeight w:val="1330"/>
        </w:trPr>
        <w:tc>
          <w:tcPr>
            <w:tcW w:w="4269" w:type="dxa"/>
            <w:gridSpan w:val="2"/>
            <w:vAlign w:val="center"/>
          </w:tcPr>
          <w:p w14:paraId="65129878" w14:textId="72F45738" w:rsidR="006701C3" w:rsidRPr="00125887" w:rsidRDefault="003E0F39" w:rsidP="00626421">
            <w:pPr>
              <w:widowControl w:val="0"/>
              <w:spacing w:beforeLines="50" w:before="180"/>
              <w:rPr>
                <w:rFonts w:ascii="Times New Roman" w:eastAsia="標楷體" w:hAnsi="Times New Roman" w:cs="Times New Roman"/>
                <w:color w:val="000000"/>
                <w:kern w:val="2"/>
              </w:rPr>
            </w:pPr>
            <w:r w:rsidRPr="003E0F39">
              <w:rPr>
                <w:rFonts w:ascii="Times New Roman" w:eastAsia="標楷體" w:hAnsi="Times New Roman" w:cs="Times New Roman"/>
                <w:color w:val="000000"/>
                <w:kern w:val="2"/>
              </w:rPr>
              <w:t>Proposed Proxy for Mandatory and Elective Courses during the Six-Month Research Leave:</w:t>
            </w:r>
          </w:p>
        </w:tc>
        <w:tc>
          <w:tcPr>
            <w:tcW w:w="6221" w:type="dxa"/>
            <w:gridSpan w:val="2"/>
            <w:vAlign w:val="center"/>
          </w:tcPr>
          <w:p w14:paraId="5A15B55B" w14:textId="77777777" w:rsidR="003E0F39" w:rsidRDefault="003E0F39" w:rsidP="00626421">
            <w:pPr>
              <w:widowControl w:val="0"/>
              <w:spacing w:beforeLines="50" w:before="180"/>
              <w:rPr>
                <w:rFonts w:ascii="Times New Roman" w:eastAsia="標楷體" w:hAnsi="Times New Roman" w:cs="Times New Roman"/>
                <w:color w:val="000000"/>
                <w:kern w:val="2"/>
              </w:rPr>
            </w:pPr>
            <w:r w:rsidRPr="003E0F39">
              <w:rPr>
                <w:rFonts w:ascii="Times New Roman" w:eastAsia="標楷體" w:hAnsi="Times New Roman" w:cs="Times New Roman"/>
                <w:color w:val="000000"/>
                <w:kern w:val="2"/>
              </w:rPr>
              <w:t>Course Name:</w:t>
            </w:r>
          </w:p>
          <w:p w14:paraId="0AB6EAD0" w14:textId="78EEA036" w:rsidR="006701C3" w:rsidRPr="00125887" w:rsidRDefault="003E0F39" w:rsidP="00626421">
            <w:pPr>
              <w:widowControl w:val="0"/>
              <w:spacing w:beforeLines="50" w:before="180"/>
              <w:rPr>
                <w:rFonts w:ascii="Times New Roman" w:eastAsia="標楷體" w:hAnsi="Times New Roman" w:cs="Times New Roman"/>
                <w:color w:val="000000"/>
                <w:kern w:val="2"/>
              </w:rPr>
            </w:pPr>
            <w:r w:rsidRPr="003E0F39">
              <w:rPr>
                <w:rFonts w:ascii="Times New Roman" w:eastAsia="標楷體" w:hAnsi="Times New Roman" w:cs="Times New Roman"/>
                <w:color w:val="000000"/>
                <w:kern w:val="2"/>
              </w:rPr>
              <w:t>Proxy: ___________ (Signature/Seal)</w:t>
            </w:r>
          </w:p>
        </w:tc>
      </w:tr>
      <w:tr w:rsidR="006701C3" w:rsidRPr="00125887" w14:paraId="1B8AE233" w14:textId="77777777" w:rsidTr="006701C3">
        <w:tc>
          <w:tcPr>
            <w:tcW w:w="10490" w:type="dxa"/>
            <w:gridSpan w:val="4"/>
            <w:vAlign w:val="center"/>
          </w:tcPr>
          <w:p w14:paraId="46C1BB36" w14:textId="77777777" w:rsidR="003E0F39" w:rsidRDefault="003E0F39" w:rsidP="00626421">
            <w:pPr>
              <w:widowControl w:val="0"/>
              <w:spacing w:beforeLines="50" w:before="180"/>
              <w:jc w:val="right"/>
              <w:rPr>
                <w:rFonts w:ascii="Times New Roman" w:eastAsia="標楷體" w:hAnsi="Times New Roman" w:cs="Times New Roman"/>
                <w:color w:val="000000"/>
                <w:kern w:val="2"/>
              </w:rPr>
            </w:pPr>
            <w:r w:rsidRPr="003E0F39">
              <w:rPr>
                <w:rFonts w:ascii="Times New Roman" w:eastAsia="標楷體" w:hAnsi="Times New Roman" w:cs="Times New Roman"/>
                <w:color w:val="000000"/>
                <w:kern w:val="2"/>
              </w:rPr>
              <w:t>Applicant: ___________ (Signature/Seal)</w:t>
            </w:r>
          </w:p>
          <w:p w14:paraId="1FFBD79A" w14:textId="2F681B2C" w:rsidR="006701C3" w:rsidRPr="00125887" w:rsidRDefault="003E0F39" w:rsidP="00626421">
            <w:pPr>
              <w:widowControl w:val="0"/>
              <w:spacing w:beforeLines="50" w:before="180"/>
              <w:jc w:val="right"/>
              <w:rPr>
                <w:rFonts w:ascii="Times New Roman" w:eastAsia="標楷體" w:hAnsi="Times New Roman" w:cs="Times New Roman"/>
                <w:color w:val="000000"/>
                <w:kern w:val="2"/>
              </w:rPr>
            </w:pPr>
            <w:r w:rsidRPr="003E0F39">
              <w:rPr>
                <w:rFonts w:ascii="Times New Roman" w:eastAsia="標楷體" w:hAnsi="Times New Roman" w:cs="Times New Roman"/>
                <w:color w:val="000000"/>
                <w:kern w:val="2"/>
              </w:rPr>
              <w:t>Republic of China ___ Year ___ Month ___ Day</w:t>
            </w:r>
          </w:p>
        </w:tc>
      </w:tr>
    </w:tbl>
    <w:p w14:paraId="3A147B4B" w14:textId="77777777" w:rsidR="006701C3" w:rsidRPr="00125887" w:rsidRDefault="006701C3" w:rsidP="006701C3">
      <w:pPr>
        <w:widowControl w:val="0"/>
        <w:rPr>
          <w:rFonts w:ascii="Times New Roman" w:eastAsia="標楷體" w:hAnsi="Times New Roman" w:cs="Times New Roman"/>
          <w:color w:val="000000"/>
          <w:kern w:val="2"/>
        </w:rPr>
      </w:pPr>
    </w:p>
    <w:p w14:paraId="3ECAD200" w14:textId="77777777" w:rsidR="006701C3" w:rsidRPr="00125887" w:rsidRDefault="006701C3" w:rsidP="006701C3">
      <w:pPr>
        <w:suppressAutoHyphens/>
        <w:snapToGrid w:val="0"/>
        <w:rPr>
          <w:rFonts w:ascii="Times New Roman" w:eastAsia="標楷體" w:hAnsi="Times New Roman" w:cs="Times New Roman"/>
          <w:color w:val="0000FF"/>
        </w:rPr>
      </w:pPr>
    </w:p>
    <w:p w14:paraId="05E7171B" w14:textId="77777777" w:rsidR="00397157" w:rsidRPr="00125887" w:rsidRDefault="00397157">
      <w:pPr>
        <w:rPr>
          <w:rFonts w:ascii="Times New Roman" w:hAnsi="Times New Roman" w:cs="Times New Roman"/>
        </w:rPr>
      </w:pPr>
    </w:p>
    <w:sectPr w:rsidR="00397157" w:rsidRPr="00125887" w:rsidSect="006701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42DA" w14:textId="77777777" w:rsidR="00E918D4" w:rsidRDefault="00E918D4">
      <w:r>
        <w:separator/>
      </w:r>
    </w:p>
  </w:endnote>
  <w:endnote w:type="continuationSeparator" w:id="0">
    <w:p w14:paraId="48440C89" w14:textId="77777777" w:rsidR="00E918D4" w:rsidRDefault="00E9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中楷體">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699345"/>
      <w:docPartObj>
        <w:docPartGallery w:val="Page Numbers (Bottom of Page)"/>
        <w:docPartUnique/>
      </w:docPartObj>
    </w:sdtPr>
    <w:sdtContent>
      <w:p w14:paraId="686B3AF5" w14:textId="77777777" w:rsidR="00000000" w:rsidRDefault="006701C3">
        <w:pPr>
          <w:pStyle w:val="a3"/>
          <w:jc w:val="center"/>
        </w:pPr>
        <w:r>
          <w:fldChar w:fldCharType="begin"/>
        </w:r>
        <w:r>
          <w:instrText>PAGE   \* MERGEFORMAT</w:instrText>
        </w:r>
        <w:r>
          <w:fldChar w:fldCharType="separate"/>
        </w:r>
        <w:r w:rsidRPr="006B3D1F">
          <w:rPr>
            <w:noProof/>
            <w:lang w:val="zh-TW"/>
          </w:rPr>
          <w:t>2</w:t>
        </w:r>
        <w:r>
          <w:fldChar w:fldCharType="end"/>
        </w:r>
      </w:p>
    </w:sdtContent>
  </w:sdt>
  <w:p w14:paraId="74C1A683"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1517" w14:textId="77777777" w:rsidR="00E918D4" w:rsidRDefault="00E918D4">
      <w:r>
        <w:separator/>
      </w:r>
    </w:p>
  </w:footnote>
  <w:footnote w:type="continuationSeparator" w:id="0">
    <w:p w14:paraId="3B4EAE36" w14:textId="77777777" w:rsidR="00E918D4" w:rsidRDefault="00E91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67A"/>
    <w:multiLevelType w:val="multilevel"/>
    <w:tmpl w:val="E00C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35FAE"/>
    <w:multiLevelType w:val="hybridMultilevel"/>
    <w:tmpl w:val="F86C0CD8"/>
    <w:lvl w:ilvl="0" w:tplc="CA0A99FC">
      <w:start w:val="2"/>
      <w:numFmt w:val="bullet"/>
      <w:lvlText w:val="□"/>
      <w:lvlJc w:val="left"/>
      <w:pPr>
        <w:tabs>
          <w:tab w:val="num" w:pos="360"/>
        </w:tabs>
        <w:ind w:left="360" w:hanging="360"/>
      </w:pPr>
      <w:rPr>
        <w:rFonts w:ascii="華康中楷體" w:eastAsia="華康中楷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3473A80"/>
    <w:multiLevelType w:val="multilevel"/>
    <w:tmpl w:val="1CE6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E40D2"/>
    <w:multiLevelType w:val="multilevel"/>
    <w:tmpl w:val="E69A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D6093"/>
    <w:multiLevelType w:val="hybridMultilevel"/>
    <w:tmpl w:val="51DA77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8E27DA6"/>
    <w:multiLevelType w:val="multilevel"/>
    <w:tmpl w:val="366E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D54C3"/>
    <w:multiLevelType w:val="hybridMultilevel"/>
    <w:tmpl w:val="01DCCAF0"/>
    <w:lvl w:ilvl="0" w:tplc="54B06300">
      <w:start w:val="1"/>
      <w:numFmt w:val="taiwaneseCountingThousand"/>
      <w:lvlText w:val="第%1條、"/>
      <w:lvlJc w:val="left"/>
      <w:pPr>
        <w:tabs>
          <w:tab w:val="num" w:pos="1080"/>
        </w:tabs>
        <w:ind w:left="1080" w:hanging="1080"/>
      </w:pPr>
      <w:rPr>
        <w:rFonts w:hint="default"/>
      </w:rPr>
    </w:lvl>
    <w:lvl w:ilvl="1" w:tplc="5E1CEA52">
      <w:start w:val="1"/>
      <w:numFmt w:val="taiwaneseCountingThousand"/>
      <w:lvlText w:val="%2、"/>
      <w:lvlJc w:val="left"/>
      <w:pPr>
        <w:tabs>
          <w:tab w:val="num" w:pos="335"/>
        </w:tabs>
        <w:ind w:left="335" w:hanging="360"/>
      </w:pPr>
      <w:rPr>
        <w:rFonts w:hint="default"/>
      </w:rPr>
    </w:lvl>
    <w:lvl w:ilvl="2" w:tplc="0409001B" w:tentative="1">
      <w:start w:val="1"/>
      <w:numFmt w:val="lowerRoman"/>
      <w:lvlText w:val="%3."/>
      <w:lvlJc w:val="right"/>
      <w:pPr>
        <w:tabs>
          <w:tab w:val="num" w:pos="935"/>
        </w:tabs>
        <w:ind w:left="935" w:hanging="480"/>
      </w:pPr>
    </w:lvl>
    <w:lvl w:ilvl="3" w:tplc="0409000F" w:tentative="1">
      <w:start w:val="1"/>
      <w:numFmt w:val="decimal"/>
      <w:lvlText w:val="%4."/>
      <w:lvlJc w:val="left"/>
      <w:pPr>
        <w:tabs>
          <w:tab w:val="num" w:pos="1415"/>
        </w:tabs>
        <w:ind w:left="1415" w:hanging="480"/>
      </w:pPr>
    </w:lvl>
    <w:lvl w:ilvl="4" w:tplc="04090019" w:tentative="1">
      <w:start w:val="1"/>
      <w:numFmt w:val="ideographTraditional"/>
      <w:lvlText w:val="%5、"/>
      <w:lvlJc w:val="left"/>
      <w:pPr>
        <w:tabs>
          <w:tab w:val="num" w:pos="1895"/>
        </w:tabs>
        <w:ind w:left="1895" w:hanging="480"/>
      </w:pPr>
    </w:lvl>
    <w:lvl w:ilvl="5" w:tplc="0409001B" w:tentative="1">
      <w:start w:val="1"/>
      <w:numFmt w:val="lowerRoman"/>
      <w:lvlText w:val="%6."/>
      <w:lvlJc w:val="right"/>
      <w:pPr>
        <w:tabs>
          <w:tab w:val="num" w:pos="2375"/>
        </w:tabs>
        <w:ind w:left="2375" w:hanging="480"/>
      </w:pPr>
    </w:lvl>
    <w:lvl w:ilvl="6" w:tplc="0409000F" w:tentative="1">
      <w:start w:val="1"/>
      <w:numFmt w:val="decimal"/>
      <w:lvlText w:val="%7."/>
      <w:lvlJc w:val="left"/>
      <w:pPr>
        <w:tabs>
          <w:tab w:val="num" w:pos="2855"/>
        </w:tabs>
        <w:ind w:left="2855" w:hanging="480"/>
      </w:pPr>
    </w:lvl>
    <w:lvl w:ilvl="7" w:tplc="04090019" w:tentative="1">
      <w:start w:val="1"/>
      <w:numFmt w:val="ideographTraditional"/>
      <w:lvlText w:val="%8、"/>
      <w:lvlJc w:val="left"/>
      <w:pPr>
        <w:tabs>
          <w:tab w:val="num" w:pos="3335"/>
        </w:tabs>
        <w:ind w:left="3335" w:hanging="480"/>
      </w:pPr>
    </w:lvl>
    <w:lvl w:ilvl="8" w:tplc="0409001B" w:tentative="1">
      <w:start w:val="1"/>
      <w:numFmt w:val="lowerRoman"/>
      <w:lvlText w:val="%9."/>
      <w:lvlJc w:val="right"/>
      <w:pPr>
        <w:tabs>
          <w:tab w:val="num" w:pos="3815"/>
        </w:tabs>
        <w:ind w:left="3815" w:hanging="480"/>
      </w:pPr>
    </w:lvl>
  </w:abstractNum>
  <w:abstractNum w:abstractNumId="7" w15:restartNumberingAfterBreak="0">
    <w:nsid w:val="3FAE24AD"/>
    <w:multiLevelType w:val="hybridMultilevel"/>
    <w:tmpl w:val="947E1206"/>
    <w:lvl w:ilvl="0" w:tplc="04090015">
      <w:start w:val="1"/>
      <w:numFmt w:val="taiwaneseCountingThousand"/>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15:restartNumberingAfterBreak="0">
    <w:nsid w:val="410D48E9"/>
    <w:multiLevelType w:val="multilevel"/>
    <w:tmpl w:val="B272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CB6A53"/>
    <w:multiLevelType w:val="multilevel"/>
    <w:tmpl w:val="6E36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44380"/>
    <w:multiLevelType w:val="multilevel"/>
    <w:tmpl w:val="A8705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B2918"/>
    <w:multiLevelType w:val="multilevel"/>
    <w:tmpl w:val="4AA8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6191925">
    <w:abstractNumId w:val="6"/>
  </w:num>
  <w:num w:numId="2" w16cid:durableId="804395963">
    <w:abstractNumId w:val="1"/>
  </w:num>
  <w:num w:numId="3" w16cid:durableId="1175221626">
    <w:abstractNumId w:val="7"/>
  </w:num>
  <w:num w:numId="4" w16cid:durableId="1167793266">
    <w:abstractNumId w:val="4"/>
  </w:num>
  <w:num w:numId="5" w16cid:durableId="126703505">
    <w:abstractNumId w:val="8"/>
  </w:num>
  <w:num w:numId="6" w16cid:durableId="373237830">
    <w:abstractNumId w:val="3"/>
  </w:num>
  <w:num w:numId="7" w16cid:durableId="315379300">
    <w:abstractNumId w:val="9"/>
  </w:num>
  <w:num w:numId="8" w16cid:durableId="1370646463">
    <w:abstractNumId w:val="2"/>
  </w:num>
  <w:num w:numId="9" w16cid:durableId="1527795530">
    <w:abstractNumId w:val="10"/>
  </w:num>
  <w:num w:numId="10" w16cid:durableId="421342907">
    <w:abstractNumId w:val="5"/>
  </w:num>
  <w:num w:numId="11" w16cid:durableId="1725828920">
    <w:abstractNumId w:val="11"/>
  </w:num>
  <w:num w:numId="12" w16cid:durableId="19727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C3"/>
    <w:rsid w:val="00125887"/>
    <w:rsid w:val="00397157"/>
    <w:rsid w:val="003E0F39"/>
    <w:rsid w:val="00474307"/>
    <w:rsid w:val="006701C3"/>
    <w:rsid w:val="00E918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CC04"/>
  <w15:chartTrackingRefBased/>
  <w15:docId w15:val="{E0A52C0C-D942-44E2-91A5-D88A2F2D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1C3"/>
    <w:rPr>
      <w:rFonts w:ascii="新細明體" w:eastAsia="新細明體" w:hAnsi="新細明體" w:cs="新細明體"/>
      <w:kern w:val="0"/>
      <w:szCs w:val="24"/>
    </w:rPr>
  </w:style>
  <w:style w:type="paragraph" w:styleId="3">
    <w:name w:val="heading 3"/>
    <w:basedOn w:val="a"/>
    <w:link w:val="30"/>
    <w:uiPriority w:val="9"/>
    <w:qFormat/>
    <w:rsid w:val="00125887"/>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01C3"/>
    <w:pPr>
      <w:tabs>
        <w:tab w:val="center" w:pos="4153"/>
        <w:tab w:val="right" w:pos="8306"/>
      </w:tabs>
      <w:snapToGrid w:val="0"/>
    </w:pPr>
    <w:rPr>
      <w:sz w:val="20"/>
      <w:szCs w:val="20"/>
    </w:rPr>
  </w:style>
  <w:style w:type="character" w:customStyle="1" w:styleId="a4">
    <w:name w:val="頁尾 字元"/>
    <w:basedOn w:val="a0"/>
    <w:link w:val="a3"/>
    <w:uiPriority w:val="99"/>
    <w:rsid w:val="006701C3"/>
    <w:rPr>
      <w:rFonts w:ascii="新細明體" w:eastAsia="新細明體" w:hAnsi="新細明體" w:cs="新細明體"/>
      <w:kern w:val="0"/>
      <w:sz w:val="20"/>
      <w:szCs w:val="20"/>
    </w:rPr>
  </w:style>
  <w:style w:type="character" w:customStyle="1" w:styleId="30">
    <w:name w:val="標題 3 字元"/>
    <w:basedOn w:val="a0"/>
    <w:link w:val="3"/>
    <w:uiPriority w:val="9"/>
    <w:rsid w:val="00125887"/>
    <w:rPr>
      <w:rFonts w:ascii="新細明體" w:eastAsia="新細明體" w:hAnsi="新細明體" w:cs="新細明體"/>
      <w:b/>
      <w:bCs/>
      <w:kern w:val="0"/>
      <w:sz w:val="27"/>
      <w:szCs w:val="27"/>
    </w:rPr>
  </w:style>
  <w:style w:type="paragraph" w:styleId="Web">
    <w:name w:val="Normal (Web)"/>
    <w:basedOn w:val="a"/>
    <w:uiPriority w:val="99"/>
    <w:semiHidden/>
    <w:unhideWhenUsed/>
    <w:rsid w:val="001258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41348">
      <w:bodyDiv w:val="1"/>
      <w:marLeft w:val="0"/>
      <w:marRight w:val="0"/>
      <w:marTop w:val="0"/>
      <w:marBottom w:val="0"/>
      <w:divBdr>
        <w:top w:val="none" w:sz="0" w:space="0" w:color="auto"/>
        <w:left w:val="none" w:sz="0" w:space="0" w:color="auto"/>
        <w:bottom w:val="none" w:sz="0" w:space="0" w:color="auto"/>
        <w:right w:val="none" w:sz="0" w:space="0" w:color="auto"/>
      </w:divBdr>
    </w:div>
    <w:div w:id="554003576">
      <w:bodyDiv w:val="1"/>
      <w:marLeft w:val="0"/>
      <w:marRight w:val="0"/>
      <w:marTop w:val="0"/>
      <w:marBottom w:val="0"/>
      <w:divBdr>
        <w:top w:val="none" w:sz="0" w:space="0" w:color="auto"/>
        <w:left w:val="none" w:sz="0" w:space="0" w:color="auto"/>
        <w:bottom w:val="none" w:sz="0" w:space="0" w:color="auto"/>
        <w:right w:val="none" w:sz="0" w:space="0" w:color="auto"/>
      </w:divBdr>
    </w:div>
    <w:div w:id="683703538">
      <w:bodyDiv w:val="1"/>
      <w:marLeft w:val="0"/>
      <w:marRight w:val="0"/>
      <w:marTop w:val="0"/>
      <w:marBottom w:val="0"/>
      <w:divBdr>
        <w:top w:val="none" w:sz="0" w:space="0" w:color="auto"/>
        <w:left w:val="none" w:sz="0" w:space="0" w:color="auto"/>
        <w:bottom w:val="none" w:sz="0" w:space="0" w:color="auto"/>
        <w:right w:val="none" w:sz="0" w:space="0" w:color="auto"/>
      </w:divBdr>
    </w:div>
    <w:div w:id="923687724">
      <w:bodyDiv w:val="1"/>
      <w:marLeft w:val="0"/>
      <w:marRight w:val="0"/>
      <w:marTop w:val="0"/>
      <w:marBottom w:val="0"/>
      <w:divBdr>
        <w:top w:val="none" w:sz="0" w:space="0" w:color="auto"/>
        <w:left w:val="none" w:sz="0" w:space="0" w:color="auto"/>
        <w:bottom w:val="none" w:sz="0" w:space="0" w:color="auto"/>
        <w:right w:val="none" w:sz="0" w:space="0" w:color="auto"/>
      </w:divBdr>
    </w:div>
    <w:div w:id="1142424474">
      <w:bodyDiv w:val="1"/>
      <w:marLeft w:val="0"/>
      <w:marRight w:val="0"/>
      <w:marTop w:val="0"/>
      <w:marBottom w:val="0"/>
      <w:divBdr>
        <w:top w:val="none" w:sz="0" w:space="0" w:color="auto"/>
        <w:left w:val="none" w:sz="0" w:space="0" w:color="auto"/>
        <w:bottom w:val="none" w:sz="0" w:space="0" w:color="auto"/>
        <w:right w:val="none" w:sz="0" w:space="0" w:color="auto"/>
      </w:divBdr>
      <w:divsChild>
        <w:div w:id="1454397750">
          <w:marLeft w:val="0"/>
          <w:marRight w:val="0"/>
          <w:marTop w:val="0"/>
          <w:marBottom w:val="0"/>
          <w:divBdr>
            <w:top w:val="none" w:sz="0" w:space="0" w:color="auto"/>
            <w:left w:val="none" w:sz="0" w:space="0" w:color="auto"/>
            <w:bottom w:val="none" w:sz="0" w:space="0" w:color="auto"/>
            <w:right w:val="none" w:sz="0" w:space="0" w:color="auto"/>
          </w:divBdr>
          <w:divsChild>
            <w:div w:id="961763837">
              <w:marLeft w:val="0"/>
              <w:marRight w:val="0"/>
              <w:marTop w:val="0"/>
              <w:marBottom w:val="0"/>
              <w:divBdr>
                <w:top w:val="none" w:sz="0" w:space="0" w:color="auto"/>
                <w:left w:val="none" w:sz="0" w:space="0" w:color="auto"/>
                <w:bottom w:val="none" w:sz="0" w:space="0" w:color="auto"/>
                <w:right w:val="none" w:sz="0" w:space="0" w:color="auto"/>
              </w:divBdr>
              <w:divsChild>
                <w:div w:id="544874997">
                  <w:marLeft w:val="0"/>
                  <w:marRight w:val="0"/>
                  <w:marTop w:val="0"/>
                  <w:marBottom w:val="0"/>
                  <w:divBdr>
                    <w:top w:val="none" w:sz="0" w:space="0" w:color="auto"/>
                    <w:left w:val="none" w:sz="0" w:space="0" w:color="auto"/>
                    <w:bottom w:val="none" w:sz="0" w:space="0" w:color="auto"/>
                    <w:right w:val="none" w:sz="0" w:space="0" w:color="auto"/>
                  </w:divBdr>
                  <w:divsChild>
                    <w:div w:id="6560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7961">
          <w:marLeft w:val="0"/>
          <w:marRight w:val="0"/>
          <w:marTop w:val="0"/>
          <w:marBottom w:val="0"/>
          <w:divBdr>
            <w:top w:val="none" w:sz="0" w:space="0" w:color="auto"/>
            <w:left w:val="none" w:sz="0" w:space="0" w:color="auto"/>
            <w:bottom w:val="none" w:sz="0" w:space="0" w:color="auto"/>
            <w:right w:val="none" w:sz="0" w:space="0" w:color="auto"/>
          </w:divBdr>
          <w:divsChild>
            <w:div w:id="1629049786">
              <w:marLeft w:val="0"/>
              <w:marRight w:val="0"/>
              <w:marTop w:val="0"/>
              <w:marBottom w:val="0"/>
              <w:divBdr>
                <w:top w:val="none" w:sz="0" w:space="0" w:color="auto"/>
                <w:left w:val="none" w:sz="0" w:space="0" w:color="auto"/>
                <w:bottom w:val="none" w:sz="0" w:space="0" w:color="auto"/>
                <w:right w:val="none" w:sz="0" w:space="0" w:color="auto"/>
              </w:divBdr>
              <w:divsChild>
                <w:div w:id="1488285970">
                  <w:marLeft w:val="0"/>
                  <w:marRight w:val="0"/>
                  <w:marTop w:val="0"/>
                  <w:marBottom w:val="0"/>
                  <w:divBdr>
                    <w:top w:val="none" w:sz="0" w:space="0" w:color="auto"/>
                    <w:left w:val="none" w:sz="0" w:space="0" w:color="auto"/>
                    <w:bottom w:val="none" w:sz="0" w:space="0" w:color="auto"/>
                    <w:right w:val="none" w:sz="0" w:space="0" w:color="auto"/>
                  </w:divBdr>
                  <w:divsChild>
                    <w:div w:id="1590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1856">
      <w:bodyDiv w:val="1"/>
      <w:marLeft w:val="0"/>
      <w:marRight w:val="0"/>
      <w:marTop w:val="0"/>
      <w:marBottom w:val="0"/>
      <w:divBdr>
        <w:top w:val="none" w:sz="0" w:space="0" w:color="auto"/>
        <w:left w:val="none" w:sz="0" w:space="0" w:color="auto"/>
        <w:bottom w:val="none" w:sz="0" w:space="0" w:color="auto"/>
        <w:right w:val="none" w:sz="0" w:space="0" w:color="auto"/>
      </w:divBdr>
      <w:divsChild>
        <w:div w:id="1995715511">
          <w:marLeft w:val="0"/>
          <w:marRight w:val="0"/>
          <w:marTop w:val="0"/>
          <w:marBottom w:val="0"/>
          <w:divBdr>
            <w:top w:val="none" w:sz="0" w:space="0" w:color="auto"/>
            <w:left w:val="none" w:sz="0" w:space="0" w:color="auto"/>
            <w:bottom w:val="none" w:sz="0" w:space="0" w:color="auto"/>
            <w:right w:val="none" w:sz="0" w:space="0" w:color="auto"/>
          </w:divBdr>
          <w:divsChild>
            <w:div w:id="828787020">
              <w:marLeft w:val="0"/>
              <w:marRight w:val="0"/>
              <w:marTop w:val="0"/>
              <w:marBottom w:val="0"/>
              <w:divBdr>
                <w:top w:val="none" w:sz="0" w:space="0" w:color="auto"/>
                <w:left w:val="none" w:sz="0" w:space="0" w:color="auto"/>
                <w:bottom w:val="none" w:sz="0" w:space="0" w:color="auto"/>
                <w:right w:val="none" w:sz="0" w:space="0" w:color="auto"/>
              </w:divBdr>
              <w:divsChild>
                <w:div w:id="831943159">
                  <w:marLeft w:val="0"/>
                  <w:marRight w:val="0"/>
                  <w:marTop w:val="0"/>
                  <w:marBottom w:val="0"/>
                  <w:divBdr>
                    <w:top w:val="none" w:sz="0" w:space="0" w:color="auto"/>
                    <w:left w:val="none" w:sz="0" w:space="0" w:color="auto"/>
                    <w:bottom w:val="none" w:sz="0" w:space="0" w:color="auto"/>
                    <w:right w:val="none" w:sz="0" w:space="0" w:color="auto"/>
                  </w:divBdr>
                  <w:divsChild>
                    <w:div w:id="1793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63195">
          <w:marLeft w:val="0"/>
          <w:marRight w:val="0"/>
          <w:marTop w:val="0"/>
          <w:marBottom w:val="0"/>
          <w:divBdr>
            <w:top w:val="none" w:sz="0" w:space="0" w:color="auto"/>
            <w:left w:val="none" w:sz="0" w:space="0" w:color="auto"/>
            <w:bottom w:val="none" w:sz="0" w:space="0" w:color="auto"/>
            <w:right w:val="none" w:sz="0" w:space="0" w:color="auto"/>
          </w:divBdr>
          <w:divsChild>
            <w:div w:id="889267625">
              <w:marLeft w:val="0"/>
              <w:marRight w:val="0"/>
              <w:marTop w:val="0"/>
              <w:marBottom w:val="0"/>
              <w:divBdr>
                <w:top w:val="none" w:sz="0" w:space="0" w:color="auto"/>
                <w:left w:val="none" w:sz="0" w:space="0" w:color="auto"/>
                <w:bottom w:val="none" w:sz="0" w:space="0" w:color="auto"/>
                <w:right w:val="none" w:sz="0" w:space="0" w:color="auto"/>
              </w:divBdr>
              <w:divsChild>
                <w:div w:id="1460566146">
                  <w:marLeft w:val="0"/>
                  <w:marRight w:val="0"/>
                  <w:marTop w:val="0"/>
                  <w:marBottom w:val="0"/>
                  <w:divBdr>
                    <w:top w:val="none" w:sz="0" w:space="0" w:color="auto"/>
                    <w:left w:val="none" w:sz="0" w:space="0" w:color="auto"/>
                    <w:bottom w:val="none" w:sz="0" w:space="0" w:color="auto"/>
                    <w:right w:val="none" w:sz="0" w:space="0" w:color="auto"/>
                  </w:divBdr>
                  <w:divsChild>
                    <w:div w:id="2501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573503">
      <w:bodyDiv w:val="1"/>
      <w:marLeft w:val="0"/>
      <w:marRight w:val="0"/>
      <w:marTop w:val="0"/>
      <w:marBottom w:val="0"/>
      <w:divBdr>
        <w:top w:val="none" w:sz="0" w:space="0" w:color="auto"/>
        <w:left w:val="none" w:sz="0" w:space="0" w:color="auto"/>
        <w:bottom w:val="none" w:sz="0" w:space="0" w:color="auto"/>
        <w:right w:val="none" w:sz="0" w:space="0" w:color="auto"/>
      </w:divBdr>
    </w:div>
    <w:div w:id="1739788750">
      <w:bodyDiv w:val="1"/>
      <w:marLeft w:val="0"/>
      <w:marRight w:val="0"/>
      <w:marTop w:val="0"/>
      <w:marBottom w:val="0"/>
      <w:divBdr>
        <w:top w:val="none" w:sz="0" w:space="0" w:color="auto"/>
        <w:left w:val="none" w:sz="0" w:space="0" w:color="auto"/>
        <w:bottom w:val="none" w:sz="0" w:space="0" w:color="auto"/>
        <w:right w:val="none" w:sz="0" w:space="0" w:color="auto"/>
      </w:divBdr>
    </w:div>
    <w:div w:id="1767967121">
      <w:bodyDiv w:val="1"/>
      <w:marLeft w:val="0"/>
      <w:marRight w:val="0"/>
      <w:marTop w:val="0"/>
      <w:marBottom w:val="0"/>
      <w:divBdr>
        <w:top w:val="none" w:sz="0" w:space="0" w:color="auto"/>
        <w:left w:val="none" w:sz="0" w:space="0" w:color="auto"/>
        <w:bottom w:val="none" w:sz="0" w:space="0" w:color="auto"/>
        <w:right w:val="none" w:sz="0" w:space="0" w:color="auto"/>
      </w:divBdr>
    </w:div>
    <w:div w:id="1828596231">
      <w:bodyDiv w:val="1"/>
      <w:marLeft w:val="0"/>
      <w:marRight w:val="0"/>
      <w:marTop w:val="0"/>
      <w:marBottom w:val="0"/>
      <w:divBdr>
        <w:top w:val="none" w:sz="0" w:space="0" w:color="auto"/>
        <w:left w:val="none" w:sz="0" w:space="0" w:color="auto"/>
        <w:bottom w:val="none" w:sz="0" w:space="0" w:color="auto"/>
        <w:right w:val="none" w:sz="0" w:space="0" w:color="auto"/>
      </w:divBdr>
    </w:div>
    <w:div w:id="202489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shenshihung</cp:lastModifiedBy>
  <cp:revision>2</cp:revision>
  <dcterms:created xsi:type="dcterms:W3CDTF">2022-06-24T06:36:00Z</dcterms:created>
  <dcterms:modified xsi:type="dcterms:W3CDTF">2024-12-16T09:10:00Z</dcterms:modified>
</cp:coreProperties>
</file>