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38" w:rsidRPr="00F70F71" w:rsidRDefault="003D0938" w:rsidP="003D0938">
      <w:pPr>
        <w:widowControl w:val="0"/>
        <w:adjustRightInd w:val="0"/>
        <w:snapToGrid w:val="0"/>
        <w:jc w:val="center"/>
        <w:rPr>
          <w:rFonts w:ascii="標楷體" w:eastAsia="標楷體" w:hAnsi="標楷體" w:cs="Times New Roman"/>
          <w:color w:val="000000"/>
          <w:spacing w:val="-4"/>
          <w:kern w:val="2"/>
          <w:sz w:val="32"/>
          <w:szCs w:val="32"/>
        </w:rPr>
      </w:pPr>
      <w:r w:rsidRPr="00F70F71">
        <w:rPr>
          <w:rFonts w:ascii="標楷體" w:eastAsia="標楷體" w:hAnsi="標楷體" w:cs="Times New Roman" w:hint="eastAsia"/>
          <w:color w:val="000000"/>
          <w:spacing w:val="-4"/>
          <w:kern w:val="2"/>
          <w:sz w:val="32"/>
          <w:szCs w:val="32"/>
        </w:rPr>
        <w:t>國立中興大學化學工程學系碩士在職專班修業要點</w:t>
      </w:r>
    </w:p>
    <w:p w:rsidR="003D0938" w:rsidRPr="00F70F71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100.11.9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系</w:t>
      </w:r>
      <w:proofErr w:type="gramStart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務</w:t>
      </w:r>
      <w:proofErr w:type="gramEnd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會議通過</w:t>
      </w:r>
    </w:p>
    <w:p w:rsidR="003D0938" w:rsidRPr="00F70F71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101.04.25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系</w:t>
      </w:r>
      <w:proofErr w:type="gramStart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務</w:t>
      </w:r>
      <w:proofErr w:type="gramEnd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會議修訂通過</w:t>
      </w:r>
    </w:p>
    <w:p w:rsidR="003D0938" w:rsidRPr="00F70F71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101.11.14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系</w:t>
      </w:r>
      <w:proofErr w:type="gramStart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務</w:t>
      </w:r>
      <w:proofErr w:type="gramEnd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會議修訂通過</w:t>
      </w:r>
    </w:p>
    <w:p w:rsidR="003D0938" w:rsidRPr="00F70F71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103.4.16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系</w:t>
      </w:r>
      <w:proofErr w:type="gramStart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務</w:t>
      </w:r>
      <w:proofErr w:type="gramEnd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會議修訂通過</w:t>
      </w:r>
    </w:p>
    <w:p w:rsidR="003D0938" w:rsidRPr="00F70F71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103.9.29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臨時性系</w:t>
      </w:r>
      <w:proofErr w:type="gramStart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務</w:t>
      </w:r>
      <w:proofErr w:type="gramEnd"/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會議修訂通過</w:t>
      </w:r>
    </w:p>
    <w:p w:rsidR="003D0938" w:rsidRPr="00F70F71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</w:t>
      </w:r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9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.</w:t>
      </w:r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4.22</w:t>
      </w:r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系</w:t>
      </w:r>
      <w:proofErr w:type="gramStart"/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務</w:t>
      </w:r>
      <w:proofErr w:type="gramEnd"/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會議修訂通過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(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修訂第</w:t>
      </w:r>
      <w:r>
        <w:rPr>
          <w:rFonts w:ascii="Times New Roman" w:eastAsia="標楷體" w:hAnsi="Times New Roman" w:cs="Times New Roman" w:hint="eastAsia"/>
          <w:kern w:val="2"/>
          <w:sz w:val="18"/>
          <w:szCs w:val="18"/>
        </w:rPr>
        <w:t>四點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)</w:t>
      </w:r>
    </w:p>
    <w:p w:rsidR="003D0938" w:rsidRPr="0059490A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110.5.12</w:t>
      </w:r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系</w:t>
      </w:r>
      <w:proofErr w:type="gramStart"/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務</w:t>
      </w:r>
      <w:proofErr w:type="gramEnd"/>
      <w:r w:rsidRPr="00F70F71">
        <w:rPr>
          <w:rFonts w:ascii="Times New Roman" w:eastAsia="標楷體" w:hAnsi="Times New Roman" w:cs="Times New Roman"/>
          <w:kern w:val="2"/>
          <w:sz w:val="18"/>
          <w:szCs w:val="18"/>
        </w:rPr>
        <w:t>會議修訂通過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(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修訂第</w:t>
      </w:r>
      <w:r>
        <w:rPr>
          <w:rFonts w:ascii="Times New Roman" w:eastAsia="標楷體" w:hAnsi="Times New Roman" w:cs="Times New Roman" w:hint="eastAsia"/>
          <w:kern w:val="2"/>
          <w:sz w:val="18"/>
          <w:szCs w:val="18"/>
        </w:rPr>
        <w:t>六點</w:t>
      </w:r>
      <w:r w:rsidRPr="00F70F71">
        <w:rPr>
          <w:rFonts w:ascii="Times New Roman" w:eastAsia="標楷體" w:hAnsi="Times New Roman" w:cs="Times New Roman" w:hint="eastAsia"/>
          <w:kern w:val="2"/>
          <w:sz w:val="18"/>
          <w:szCs w:val="18"/>
        </w:rPr>
        <w:t>)</w:t>
      </w:r>
    </w:p>
    <w:p w:rsidR="003D0938" w:rsidRPr="0059490A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18"/>
          <w:szCs w:val="18"/>
        </w:rPr>
      </w:pPr>
      <w:r w:rsidRPr="0059490A">
        <w:rPr>
          <w:rFonts w:ascii="Times New Roman" w:eastAsia="標楷體" w:hAnsi="Times New Roman" w:cs="Times New Roman" w:hint="eastAsia"/>
          <w:color w:val="000000" w:themeColor="text1"/>
          <w:kern w:val="2"/>
          <w:sz w:val="18"/>
          <w:szCs w:val="18"/>
        </w:rPr>
        <w:t>111.9.21</w:t>
      </w:r>
      <w:r w:rsidRPr="0059490A">
        <w:rPr>
          <w:rFonts w:ascii="Times New Roman" w:eastAsia="標楷體" w:hAnsi="Times New Roman" w:cs="Times New Roman" w:hint="eastAsia"/>
          <w:color w:val="000000" w:themeColor="text1"/>
          <w:kern w:val="2"/>
          <w:sz w:val="18"/>
          <w:szCs w:val="18"/>
        </w:rPr>
        <w:t>系</w:t>
      </w:r>
      <w:proofErr w:type="gramStart"/>
      <w:r w:rsidRPr="0059490A">
        <w:rPr>
          <w:rFonts w:ascii="Times New Roman" w:eastAsia="標楷體" w:hAnsi="Times New Roman" w:cs="Times New Roman" w:hint="eastAsia"/>
          <w:color w:val="000000" w:themeColor="text1"/>
          <w:kern w:val="2"/>
          <w:sz w:val="18"/>
          <w:szCs w:val="18"/>
        </w:rPr>
        <w:t>務</w:t>
      </w:r>
      <w:proofErr w:type="gramEnd"/>
      <w:r w:rsidRPr="0059490A">
        <w:rPr>
          <w:rFonts w:ascii="Times New Roman" w:eastAsia="標楷體" w:hAnsi="Times New Roman" w:cs="Times New Roman"/>
          <w:color w:val="000000" w:themeColor="text1"/>
          <w:kern w:val="2"/>
          <w:sz w:val="18"/>
          <w:szCs w:val="18"/>
        </w:rPr>
        <w:t>會議修訂通過</w:t>
      </w:r>
      <w:r w:rsidRPr="0059490A">
        <w:rPr>
          <w:rFonts w:ascii="Times New Roman" w:eastAsia="標楷體" w:hAnsi="Times New Roman" w:cs="Times New Roman" w:hint="eastAsia"/>
          <w:color w:val="000000" w:themeColor="text1"/>
          <w:kern w:val="2"/>
          <w:sz w:val="18"/>
          <w:szCs w:val="18"/>
        </w:rPr>
        <w:t>(</w:t>
      </w:r>
      <w:r w:rsidRPr="0059490A">
        <w:rPr>
          <w:rFonts w:ascii="Times New Roman" w:eastAsia="標楷體" w:hAnsi="Times New Roman" w:cs="Times New Roman" w:hint="eastAsia"/>
          <w:color w:val="000000" w:themeColor="text1"/>
          <w:kern w:val="2"/>
          <w:sz w:val="18"/>
          <w:szCs w:val="18"/>
        </w:rPr>
        <w:t>修訂第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18"/>
          <w:szCs w:val="18"/>
        </w:rPr>
        <w:t>六點</w:t>
      </w:r>
      <w:r w:rsidRPr="0059490A">
        <w:rPr>
          <w:rFonts w:ascii="Times New Roman" w:eastAsia="標楷體" w:hAnsi="Times New Roman" w:cs="Times New Roman" w:hint="eastAsia"/>
          <w:color w:val="000000" w:themeColor="text1"/>
          <w:kern w:val="2"/>
          <w:sz w:val="18"/>
          <w:szCs w:val="18"/>
        </w:rPr>
        <w:t>)</w:t>
      </w:r>
    </w:p>
    <w:p w:rsidR="003D0938" w:rsidRPr="0059490A" w:rsidRDefault="003D0938" w:rsidP="003D093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</w:p>
    <w:p w:rsidR="003D0938" w:rsidRPr="00F70F71" w:rsidRDefault="003D0938" w:rsidP="003D0938">
      <w:pPr>
        <w:widowControl w:val="0"/>
        <w:adjustRightInd w:val="0"/>
        <w:snapToGrid w:val="0"/>
        <w:jc w:val="right"/>
        <w:rPr>
          <w:rFonts w:ascii="標楷體" w:eastAsia="標楷體" w:hAnsi="標楷體" w:cs="Times New Roman"/>
          <w:color w:val="000000"/>
          <w:kern w:val="2"/>
          <w:sz w:val="16"/>
          <w:szCs w:val="16"/>
        </w:rPr>
      </w:pPr>
    </w:p>
    <w:p w:rsidR="003D0938" w:rsidRPr="0059490A" w:rsidRDefault="003D0938" w:rsidP="003D0938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一、本要點依據國立中興大學研究所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系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碩士在職專班作業要點及學生選課辦法訂定。</w:t>
      </w:r>
    </w:p>
    <w:p w:rsidR="003D0938" w:rsidRPr="0059490A" w:rsidRDefault="003D0938" w:rsidP="003D0938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二、本系碩士在職專班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(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簡稱本班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之修業年限為二年至四年，未在規定修業期限內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修滿應修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課程或未完成學位論文者，得延長修業年限一年。</w:t>
      </w:r>
    </w:p>
    <w:p w:rsidR="003D0938" w:rsidRPr="0059490A" w:rsidRDefault="003D0938" w:rsidP="003D0938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三、學生畢業應修最低學分數：</w:t>
      </w:r>
    </w:p>
    <w:p w:rsidR="003D0938" w:rsidRPr="0059490A" w:rsidRDefault="003D0938" w:rsidP="003D0938">
      <w:pPr>
        <w:widowControl w:val="0"/>
        <w:snapToGrid w:val="0"/>
        <w:ind w:leftChars="200" w:left="840" w:hangingChars="150" w:hanging="360"/>
        <w:jc w:val="both"/>
        <w:rPr>
          <w:rFonts w:ascii="Times New Roman" w:eastAsia="標楷體" w:hAnsi="Times New Roman" w:cs="Times New Roman"/>
          <w:color w:val="000000"/>
          <w:kern w:val="2"/>
        </w:rPr>
      </w:pPr>
      <w:r w:rsidRPr="0059490A">
        <w:rPr>
          <w:rFonts w:ascii="Times New Roman" w:eastAsia="標楷體" w:hAnsi="Times New Roman" w:cs="Times New Roman"/>
          <w:color w:val="000000"/>
          <w:kern w:val="2"/>
        </w:rPr>
        <w:t xml:space="preserve">1. </w:t>
      </w:r>
      <w:r w:rsidRPr="0059490A">
        <w:rPr>
          <w:rFonts w:ascii="Times New Roman" w:eastAsia="標楷體" w:hAnsi="Times New Roman" w:cs="Times New Roman"/>
          <w:color w:val="000000"/>
          <w:kern w:val="2"/>
        </w:rPr>
        <w:t>專業課程二十四學分。</w:t>
      </w:r>
    </w:p>
    <w:p w:rsidR="003D0938" w:rsidRPr="0059490A" w:rsidRDefault="003D0938" w:rsidP="003D0938">
      <w:pPr>
        <w:snapToGrid w:val="0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 xml:space="preserve">    2. 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碩士畢業論文六學分另計。</w:t>
      </w:r>
    </w:p>
    <w:p w:rsidR="003D0938" w:rsidRPr="0059490A" w:rsidRDefault="003D0938" w:rsidP="003D0938">
      <w:pPr>
        <w:snapToGrid w:val="0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四、學生每學期選修之專業課程以十二學分為上限（論文學分另計）；選修大學部相關課程不計入畢業學分，自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104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學年度起入學之所有學生皆需選修高等輸送現象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(3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學分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、高等化工熱力學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(3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學分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、或高等化工動力學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(3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學分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核心課程至少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6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學分，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且單門課程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學期成績未達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35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分以上，則須重新選修。</w:t>
      </w:r>
    </w:p>
    <w:p w:rsidR="003D0938" w:rsidRPr="0059490A" w:rsidRDefault="003D0938" w:rsidP="003D0938">
      <w:pPr>
        <w:snapToGrid w:val="0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五、選修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非本班之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本系研究所課程，至多承認十二學分；選修外系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所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碩博士班課程，至多承認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三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學分。</w:t>
      </w:r>
    </w:p>
    <w:p w:rsidR="003D0938" w:rsidRPr="0059490A" w:rsidRDefault="003D0938" w:rsidP="003D0938">
      <w:pPr>
        <w:snapToGrid w:val="0"/>
        <w:ind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六、抵免學分僅能於入學時一次申請，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先修讀本系研究所課程者，最高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12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學分，其他至多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3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學分。碩士在職專班之新生至多得抵免系（所、學位學程）規定畢業總學分數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(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不含畢業論文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)</w:t>
      </w:r>
      <w:r w:rsidRPr="00EC1E79">
        <w:rPr>
          <w:rFonts w:ascii="Times New Roman" w:eastAsia="標楷體" w:hAnsi="Times New Roman" w:cs="Times New Roman"/>
          <w:color w:val="000000" w:themeColor="text1"/>
          <w:szCs w:val="20"/>
        </w:rPr>
        <w:t>之一半。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本系畢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(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肄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59490A">
        <w:rPr>
          <w:rFonts w:ascii="Times New Roman" w:eastAsia="標楷體" w:hAnsi="Times New Roman" w:cs="Times New Roman"/>
          <w:color w:val="000000"/>
          <w:szCs w:val="20"/>
        </w:rPr>
        <w:t>業學生修習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本系碩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、博士班課程抵免學分數得由本系認定，不受此限。</w:t>
      </w:r>
    </w:p>
    <w:p w:rsidR="003D0938" w:rsidRPr="0059490A" w:rsidRDefault="003D0938" w:rsidP="003D0938">
      <w:pPr>
        <w:snapToGrid w:val="0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七、學生須於第一學期加退選課結束前選定指導教授，並提出書面申請。學生選修之</w:t>
      </w:r>
      <w:proofErr w:type="gramStart"/>
      <w:r w:rsidRPr="0059490A">
        <w:rPr>
          <w:rFonts w:ascii="Times New Roman" w:eastAsia="標楷體" w:hAnsi="Times New Roman" w:cs="Times New Roman"/>
          <w:color w:val="000000"/>
          <w:szCs w:val="20"/>
        </w:rPr>
        <w:t>課程均須經</w:t>
      </w:r>
      <w:proofErr w:type="gramEnd"/>
      <w:r w:rsidRPr="0059490A">
        <w:rPr>
          <w:rFonts w:ascii="Times New Roman" w:eastAsia="標楷體" w:hAnsi="Times New Roman" w:cs="Times New Roman"/>
          <w:color w:val="000000"/>
          <w:szCs w:val="20"/>
        </w:rPr>
        <w:t>指導教授同意。</w:t>
      </w:r>
    </w:p>
    <w:p w:rsidR="003D0938" w:rsidRPr="0059490A" w:rsidRDefault="003D0938" w:rsidP="003D0938">
      <w:pPr>
        <w:snapToGrid w:val="0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59490A">
        <w:rPr>
          <w:rFonts w:ascii="Times New Roman" w:eastAsia="標楷體" w:hAnsi="Times New Roman" w:cs="Times New Roman"/>
          <w:color w:val="000000"/>
          <w:szCs w:val="20"/>
        </w:rPr>
        <w:t>八、其他未盡事宜依本校教務章程相關規定辦理。</w:t>
      </w:r>
    </w:p>
    <w:p w:rsidR="003D0938" w:rsidRPr="0059490A" w:rsidRDefault="003D0938" w:rsidP="003D0938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59490A">
        <w:rPr>
          <w:rFonts w:ascii="Times New Roman" w:eastAsia="標楷體" w:hAnsi="Times New Roman" w:cs="Times New Roman"/>
          <w:color w:val="000000"/>
          <w:kern w:val="2"/>
          <w:szCs w:val="20"/>
        </w:rPr>
        <w:t>九、本要點經系</w:t>
      </w:r>
      <w:proofErr w:type="gramStart"/>
      <w:r w:rsidRPr="0059490A">
        <w:rPr>
          <w:rFonts w:ascii="Times New Roman" w:eastAsia="標楷體" w:hAnsi="Times New Roman" w:cs="Times New Roman"/>
          <w:color w:val="000000"/>
          <w:kern w:val="2"/>
          <w:szCs w:val="20"/>
        </w:rPr>
        <w:t>務</w:t>
      </w:r>
      <w:proofErr w:type="gramEnd"/>
      <w:r w:rsidRPr="0059490A">
        <w:rPr>
          <w:rFonts w:ascii="Times New Roman" w:eastAsia="標楷體" w:hAnsi="Times New Roman" w:cs="Times New Roman"/>
          <w:color w:val="000000"/>
          <w:kern w:val="2"/>
          <w:szCs w:val="20"/>
        </w:rPr>
        <w:t>會議通過後實施，修正時亦同。</w:t>
      </w:r>
    </w:p>
    <w:p w:rsidR="00397157" w:rsidRPr="003D0938" w:rsidRDefault="00397157" w:rsidP="003D0938">
      <w:bookmarkStart w:id="0" w:name="_GoBack"/>
      <w:bookmarkEnd w:id="0"/>
    </w:p>
    <w:sectPr w:rsidR="00397157" w:rsidRPr="003D0938" w:rsidSect="003D0938">
      <w:pgSz w:w="11906" w:h="16838"/>
      <w:pgMar w:top="1440" w:right="1133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5B" w:rsidRDefault="0086245B" w:rsidP="003D0938">
      <w:r>
        <w:separator/>
      </w:r>
    </w:p>
  </w:endnote>
  <w:endnote w:type="continuationSeparator" w:id="0">
    <w:p w:rsidR="0086245B" w:rsidRDefault="0086245B" w:rsidP="003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5B" w:rsidRDefault="0086245B" w:rsidP="003D0938">
      <w:r>
        <w:separator/>
      </w:r>
    </w:p>
  </w:footnote>
  <w:footnote w:type="continuationSeparator" w:id="0">
    <w:p w:rsidR="0086245B" w:rsidRDefault="0086245B" w:rsidP="003D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8A"/>
    <w:rsid w:val="001D068A"/>
    <w:rsid w:val="00397157"/>
    <w:rsid w:val="003D0938"/>
    <w:rsid w:val="008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1872A-B21A-453B-AEB0-64ADD70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68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93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93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yrku</dc:creator>
  <cp:keywords/>
  <dc:description/>
  <cp:lastModifiedBy>yrku</cp:lastModifiedBy>
  <cp:revision>2</cp:revision>
  <dcterms:created xsi:type="dcterms:W3CDTF">2022-09-27T08:04:00Z</dcterms:created>
  <dcterms:modified xsi:type="dcterms:W3CDTF">2022-09-28T03:25:00Z</dcterms:modified>
</cp:coreProperties>
</file>